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D5D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firstLineChars="0"/>
        <w:rPr>
          <w:rFonts w:hint="default"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附件3</w:t>
      </w:r>
    </w:p>
    <w:p w14:paraId="7ED32834">
      <w:pPr>
        <w:keepNext w:val="0"/>
        <w:keepLines w:val="0"/>
        <w:pageBreakBefore w:val="0"/>
        <w:widowControl w:val="0"/>
        <w:suppressLineNumbers w:val="0"/>
        <w:shd w:val="clear" w:color="auto" w:fill="FFFFFF"/>
        <w:kinsoku/>
        <w:wordWrap/>
        <w:overflowPunct/>
        <w:topLinePunct w:val="0"/>
        <w:autoSpaceDE/>
        <w:autoSpaceDN/>
        <w:bidi w:val="0"/>
        <w:adjustRightInd/>
        <w:snapToGrid/>
        <w:spacing w:afterAutospacing="0" w:line="600" w:lineRule="exact"/>
        <w:ind w:left="0" w:leftChars="0" w:right="0" w:rightChars="0"/>
        <w:jc w:val="left"/>
        <w:textAlignment w:val="auto"/>
        <w:rPr>
          <w:rFonts w:hint="eastAsia" w:ascii="仿宋_GB2312" w:hAnsi="仿宋_GB2312" w:eastAsia="仿宋_GB2312" w:cs="仿宋_GB2312"/>
          <w:color w:val="auto"/>
          <w:sz w:val="32"/>
          <w:szCs w:val="32"/>
          <w:highlight w:val="none"/>
          <w:lang w:val="en-US" w:eastAsia="zh-CN"/>
        </w:rPr>
      </w:pPr>
    </w:p>
    <w:p w14:paraId="5DFD3605">
      <w:pPr>
        <w:keepNext w:val="0"/>
        <w:keepLines w:val="0"/>
        <w:pageBreakBefore w:val="0"/>
        <w:kinsoku/>
        <w:wordWrap/>
        <w:topLinePunct w:val="0"/>
        <w:autoSpaceDE/>
        <w:autoSpaceDN/>
        <w:bidi w:val="0"/>
        <w:snapToGrid/>
        <w:spacing w:line="600" w:lineRule="exact"/>
        <w:ind w:left="0" w:leftChars="0" w:right="0" w:right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bookmarkStart w:id="0" w:name="_GoBack"/>
      <w:r>
        <w:rPr>
          <w:rFonts w:hint="eastAsia" w:ascii="方正小标宋简体" w:hAnsi="方正小标宋简体" w:eastAsia="方正小标宋简体" w:cs="方正小标宋简体"/>
          <w:color w:val="auto"/>
          <w:sz w:val="44"/>
          <w:szCs w:val="44"/>
          <w:highlight w:val="none"/>
          <w:lang w:eastAsia="zh-CN"/>
        </w:rPr>
        <w:t>福州市</w:t>
      </w:r>
      <w:r>
        <w:rPr>
          <w:rFonts w:hint="eastAsia" w:ascii="方正小标宋简体" w:hAnsi="方正小标宋简体" w:eastAsia="方正小标宋简体" w:cs="方正小标宋简体"/>
          <w:color w:val="auto"/>
          <w:sz w:val="44"/>
          <w:szCs w:val="44"/>
          <w:highlight w:val="none"/>
          <w:lang w:val="en-US" w:eastAsia="zh-CN"/>
        </w:rPr>
        <w:t>工业（产业）园区配套用地建设</w:t>
      </w:r>
    </w:p>
    <w:p w14:paraId="44F510A7">
      <w:pPr>
        <w:keepNext w:val="0"/>
        <w:keepLines w:val="0"/>
        <w:pageBreakBefore w:val="0"/>
        <w:kinsoku/>
        <w:wordWrap/>
        <w:topLinePunct w:val="0"/>
        <w:autoSpaceDE/>
        <w:autoSpaceDN/>
        <w:bidi w:val="0"/>
        <w:snapToGrid/>
        <w:spacing w:line="600" w:lineRule="exact"/>
        <w:ind w:left="0" w:leftChars="0" w:right="0" w:rightChars="0"/>
        <w:jc w:val="center"/>
        <w:textAlignment w:val="auto"/>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保障性租赁住房实施细则</w:t>
      </w:r>
    </w:p>
    <w:bookmarkEnd w:id="0"/>
    <w:p w14:paraId="725AAC5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16" w:firstLineChars="200"/>
        <w:jc w:val="center"/>
        <w:textAlignment w:val="auto"/>
        <w:rPr>
          <w:rFonts w:hint="eastAsia" w:ascii="仿宋_GB2312" w:hAnsi="仿宋_GB2312" w:eastAsia="仿宋_GB2312" w:cs="仿宋_GB2312"/>
          <w:color w:val="auto"/>
          <w:sz w:val="32"/>
          <w:szCs w:val="32"/>
          <w:highlight w:val="none"/>
          <w:lang w:val="en-US" w:eastAsia="zh-CN"/>
        </w:rPr>
      </w:pPr>
    </w:p>
    <w:p w14:paraId="0B71DF3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16"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一、适用范围</w:t>
      </w:r>
    </w:p>
    <w:p w14:paraId="055312B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16"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本市工业（产业）园区内合法取得工业用地</w:t>
      </w:r>
      <w:r>
        <w:rPr>
          <w:rFonts w:hint="eastAsia" w:ascii="仿宋_GB2312" w:hAnsi="仿宋_GB2312" w:eastAsia="仿宋_GB2312" w:cs="仿宋_GB2312"/>
          <w:color w:val="auto"/>
          <w:spacing w:val="0"/>
          <w:sz w:val="32"/>
          <w:szCs w:val="32"/>
          <w:highlight w:val="none"/>
          <w:lang w:eastAsia="zh-CN"/>
        </w:rPr>
        <w:t>（含工业仓储用地）</w:t>
      </w:r>
      <w:r>
        <w:rPr>
          <w:rFonts w:hint="eastAsia" w:ascii="仿宋_GB2312" w:hAnsi="仿宋_GB2312" w:eastAsia="仿宋_GB2312" w:cs="仿宋_GB2312"/>
          <w:color w:val="auto"/>
          <w:sz w:val="32"/>
          <w:szCs w:val="32"/>
          <w:highlight w:val="none"/>
          <w:lang w:val="en-US" w:eastAsia="zh-CN"/>
        </w:rPr>
        <w:t>的项目，可利用工业用地配套的行政办公及生活服务配套设施用地建设保障性租赁住房；但列入收储用地的除外。</w:t>
      </w:r>
    </w:p>
    <w:p w14:paraId="2790BE4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16" w:firstLineChars="200"/>
        <w:jc w:val="both"/>
        <w:textAlignment w:val="auto"/>
        <w:rPr>
          <w:rFonts w:hint="default"/>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二、建设模式</w:t>
      </w:r>
    </w:p>
    <w:p w14:paraId="4104BB93">
      <w:pPr>
        <w:pStyle w:val="2"/>
        <w:keepNext w:val="0"/>
        <w:keepLines w:val="0"/>
        <w:pageBreakBefore w:val="0"/>
        <w:kinsoku/>
        <w:wordWrap/>
        <w:topLinePunct w:val="0"/>
        <w:autoSpaceDE/>
        <w:autoSpaceDN/>
        <w:bidi w:val="0"/>
        <w:adjustRightInd w:val="0"/>
        <w:snapToGrid w:val="0"/>
        <w:spacing w:line="600" w:lineRule="exact"/>
        <w:ind w:left="0" w:leftChars="0" w:right="0" w:rightChars="0" w:firstLine="616" w:firstLineChars="200"/>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kern w:val="2"/>
          <w:sz w:val="32"/>
          <w:szCs w:val="32"/>
          <w:highlight w:val="none"/>
          <w:lang w:eastAsia="zh-CN" w:bidi="ar-SA"/>
        </w:rPr>
        <w:t>（一）</w:t>
      </w:r>
      <w:r>
        <w:rPr>
          <w:rFonts w:hint="eastAsia" w:ascii="仿宋_GB2312" w:hAnsi="仿宋_GB2312" w:eastAsia="仿宋_GB2312" w:cs="仿宋_GB2312"/>
          <w:color w:val="auto"/>
          <w:kern w:val="2"/>
          <w:sz w:val="32"/>
          <w:szCs w:val="32"/>
          <w:highlight w:val="none"/>
          <w:lang w:val="en-US" w:eastAsia="zh-CN" w:bidi="ar-SA"/>
        </w:rPr>
        <w:t>由园区企业利用自有的配套建设用地申请建设。</w:t>
      </w:r>
      <w:r>
        <w:rPr>
          <w:rFonts w:hint="eastAsia" w:ascii="仿宋_GB2312" w:hAnsi="仿宋_GB2312" w:eastAsia="仿宋_GB2312" w:cs="仿宋_GB2312"/>
          <w:color w:val="auto"/>
          <w:sz w:val="32"/>
          <w:szCs w:val="32"/>
          <w:highlight w:val="none"/>
          <w:lang w:val="en-US" w:eastAsia="zh-CN"/>
        </w:rPr>
        <w:t>工业项目所需的行政办公及生活服务配套设施用地面积占工业项目总用地面积比例上限由7%提高到15%，建筑面积占比上限由15%提高至30%，提高部分全部用于建设宿舍型保障性租赁住房，不改变原批准土地用途和使用年限，不补缴土地价款。</w:t>
      </w:r>
    </w:p>
    <w:p w14:paraId="5649CC33">
      <w:pPr>
        <w:pStyle w:val="2"/>
        <w:keepNext w:val="0"/>
        <w:keepLines w:val="0"/>
        <w:pageBreakBefore w:val="0"/>
        <w:kinsoku/>
        <w:wordWrap/>
        <w:topLinePunct w:val="0"/>
        <w:autoSpaceDE/>
        <w:autoSpaceDN/>
        <w:bidi w:val="0"/>
        <w:adjustRightInd w:val="0"/>
        <w:snapToGrid w:val="0"/>
        <w:spacing w:line="600" w:lineRule="exact"/>
        <w:ind w:left="0" w:leftChars="0" w:right="0" w:rightChars="0" w:firstLine="616" w:firstLineChars="200"/>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kern w:val="2"/>
          <w:sz w:val="32"/>
          <w:szCs w:val="32"/>
          <w:highlight w:val="none"/>
          <w:lang w:eastAsia="zh-CN" w:bidi="ar-SA"/>
        </w:rPr>
        <w:t>（二）</w:t>
      </w:r>
      <w:r>
        <w:rPr>
          <w:rFonts w:hint="eastAsia" w:ascii="仿宋_GB2312" w:hAnsi="仿宋_GB2312" w:eastAsia="仿宋_GB2312" w:cs="仿宋_GB2312"/>
          <w:color w:val="auto"/>
          <w:sz w:val="32"/>
          <w:szCs w:val="32"/>
          <w:highlight w:val="none"/>
          <w:lang w:val="en-US" w:eastAsia="zh-CN"/>
        </w:rPr>
        <w:t>鼓励将工业（产业）园区中不具备自建条件工业项目的配套比例对应的用地面积和建筑面积相对集中起来，按照优化布局、合理配套的原则，由园区统一建设宿舍型保障性租赁住房。此类项目征得土地产权人同意后由园区管委会提出用地申请。</w:t>
      </w:r>
    </w:p>
    <w:p w14:paraId="797C999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16"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工业项目建设宿舍型保障性租赁住房应执行《宿舍建筑设计规范》及我市相关标准，套型建筑面积30平方米以下（含30平方米）的占比不小于80%，最大套型建筑面积不得大于45平方米。</w:t>
      </w:r>
    </w:p>
    <w:p w14:paraId="43FE1776">
      <w:pPr>
        <w:pStyle w:val="2"/>
        <w:keepNext w:val="0"/>
        <w:keepLines w:val="0"/>
        <w:pageBreakBefore w:val="0"/>
        <w:numPr>
          <w:ilvl w:val="0"/>
          <w:numId w:val="0"/>
        </w:numPr>
        <w:kinsoku/>
        <w:wordWrap/>
        <w:topLinePunct w:val="0"/>
        <w:autoSpaceDE/>
        <w:autoSpaceDN/>
        <w:bidi w:val="0"/>
        <w:adjustRightInd w:val="0"/>
        <w:snapToGrid w:val="0"/>
        <w:spacing w:line="600" w:lineRule="exact"/>
        <w:ind w:left="0" w:leftChars="0" w:right="0" w:rightChars="0" w:firstLine="61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三、审批流程</w:t>
      </w:r>
    </w:p>
    <w:p w14:paraId="4870C842">
      <w:pPr>
        <w:pStyle w:val="2"/>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19"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kern w:val="2"/>
          <w:sz w:val="32"/>
          <w:szCs w:val="32"/>
          <w:highlight w:val="none"/>
          <w:lang w:val="en-US" w:eastAsia="zh-CN" w:bidi="ar-SA"/>
        </w:rPr>
        <w:t>（一）用地申请。</w:t>
      </w:r>
      <w:r>
        <w:rPr>
          <w:rFonts w:hint="eastAsia" w:ascii="仿宋_GB2312" w:hAnsi="仿宋_GB2312" w:eastAsia="仿宋_GB2312" w:cs="仿宋_GB2312"/>
          <w:color w:val="auto"/>
          <w:sz w:val="32"/>
          <w:szCs w:val="32"/>
          <w:highlight w:val="none"/>
          <w:lang w:val="en-US" w:eastAsia="zh-CN"/>
        </w:rPr>
        <w:t>由产权人向</w:t>
      </w:r>
      <w:r>
        <w:rPr>
          <w:rFonts w:hint="eastAsia" w:ascii="仿宋_GB2312" w:hAnsi="仿宋_GB2312" w:cs="仿宋_GB2312"/>
          <w:color w:val="auto"/>
          <w:sz w:val="32"/>
          <w:szCs w:val="32"/>
          <w:highlight w:val="none"/>
          <w:lang w:val="en-US" w:eastAsia="zh-CN"/>
        </w:rPr>
        <w:t>市保租办或</w:t>
      </w:r>
      <w:r>
        <w:rPr>
          <w:rFonts w:hint="default" w:ascii="仿宋_GB2312" w:hAnsi="仿宋_GB2312" w:eastAsia="仿宋_GB2312" w:cs="仿宋_GB2312"/>
          <w:color w:val="auto"/>
          <w:sz w:val="32"/>
          <w:szCs w:val="32"/>
          <w:highlight w:val="none"/>
          <w:lang w:eastAsia="zh-CN"/>
        </w:rPr>
        <w:t>属地</w:t>
      </w:r>
      <w:r>
        <w:rPr>
          <w:rFonts w:hint="eastAsia" w:ascii="仿宋_GB2312" w:hAnsi="仿宋_GB2312" w:eastAsia="仿宋_GB2312" w:cs="仿宋_GB2312"/>
          <w:color w:val="auto"/>
          <w:sz w:val="32"/>
          <w:szCs w:val="32"/>
          <w:highlight w:val="none"/>
          <w:lang w:val="en-US" w:eastAsia="zh-CN"/>
        </w:rPr>
        <w:t>区保租办申请并提交申请报告、土地使用权证、项目设计方案和建设运营方案等材料。</w:t>
      </w:r>
    </w:p>
    <w:p w14:paraId="597C07D0">
      <w:pPr>
        <w:pStyle w:val="4"/>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19"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kern w:val="2"/>
          <w:sz w:val="32"/>
          <w:szCs w:val="32"/>
          <w:highlight w:val="none"/>
          <w:lang w:val="en-US" w:eastAsia="zh-CN" w:bidi="ar-SA"/>
        </w:rPr>
        <w:t>（二）联合审查。</w:t>
      </w:r>
      <w:r>
        <w:rPr>
          <w:rFonts w:hint="eastAsia" w:ascii="仿宋_GB2312" w:hAnsi="仿宋_GB2312" w:cs="仿宋_GB2312"/>
          <w:color w:val="auto"/>
          <w:sz w:val="32"/>
          <w:szCs w:val="32"/>
          <w:highlight w:val="none"/>
          <w:lang w:val="en-US" w:eastAsia="zh-CN"/>
        </w:rPr>
        <w:t>市、</w:t>
      </w:r>
      <w:r>
        <w:rPr>
          <w:rFonts w:hint="eastAsia" w:ascii="仿宋_GB2312" w:hAnsi="仿宋_GB2312" w:eastAsia="仿宋_GB2312" w:cs="仿宋_GB2312"/>
          <w:color w:val="auto"/>
          <w:sz w:val="32"/>
          <w:szCs w:val="32"/>
          <w:highlight w:val="none"/>
          <w:lang w:val="en-US" w:eastAsia="zh-CN"/>
        </w:rPr>
        <w:t>区保租办组织工信、</w:t>
      </w:r>
      <w:r>
        <w:rPr>
          <w:rFonts w:hint="eastAsia" w:ascii="仿宋_GB2312" w:hAnsi="仿宋_GB2312" w:cs="仿宋_GB2312"/>
          <w:color w:val="auto"/>
          <w:sz w:val="32"/>
          <w:szCs w:val="32"/>
          <w:highlight w:val="none"/>
          <w:lang w:val="en-US" w:eastAsia="zh-CN"/>
        </w:rPr>
        <w:t>自然资源和规划</w:t>
      </w:r>
      <w:r>
        <w:rPr>
          <w:rFonts w:hint="eastAsia" w:ascii="仿宋_GB2312" w:hAnsi="仿宋_GB2312" w:eastAsia="仿宋_GB2312" w:cs="仿宋_GB2312"/>
          <w:color w:val="auto"/>
          <w:sz w:val="32"/>
          <w:szCs w:val="32"/>
          <w:highlight w:val="none"/>
          <w:lang w:val="en-US" w:eastAsia="zh-CN"/>
        </w:rPr>
        <w:t>、住建等部门开展联合审查。重点审查</w:t>
      </w:r>
      <w:r>
        <w:rPr>
          <w:rFonts w:hint="default" w:ascii="仿宋_GB2312" w:hAnsi="仿宋_GB2312" w:eastAsia="仿宋_GB2312" w:cs="仿宋_GB2312"/>
          <w:color w:val="auto"/>
          <w:sz w:val="32"/>
          <w:szCs w:val="32"/>
          <w:highlight w:val="none"/>
          <w:lang w:eastAsia="zh-CN"/>
        </w:rPr>
        <w:t>内容</w:t>
      </w:r>
      <w:r>
        <w:rPr>
          <w:rFonts w:hint="eastAsia" w:ascii="仿宋_GB2312" w:hAnsi="仿宋_GB2312" w:eastAsia="仿宋_GB2312" w:cs="仿宋_GB2312"/>
          <w:color w:val="auto"/>
          <w:sz w:val="32"/>
          <w:szCs w:val="32"/>
          <w:highlight w:val="none"/>
          <w:lang w:val="en-US" w:eastAsia="zh-CN"/>
        </w:rPr>
        <w:t>：工信局审核项目是否属于工业（产业）园区范围；</w:t>
      </w:r>
      <w:r>
        <w:rPr>
          <w:rFonts w:hint="eastAsia" w:ascii="仿宋_GB2312" w:hAnsi="仿宋_GB2312" w:cs="仿宋_GB2312"/>
          <w:color w:val="auto"/>
          <w:sz w:val="32"/>
          <w:szCs w:val="32"/>
          <w:highlight w:val="none"/>
          <w:lang w:val="en-US" w:eastAsia="zh-CN"/>
        </w:rPr>
        <w:t>自然资源和规划</w:t>
      </w:r>
      <w:r>
        <w:rPr>
          <w:rFonts w:hint="eastAsia" w:ascii="仿宋_GB2312" w:hAnsi="仿宋_GB2312" w:eastAsia="仿宋_GB2312" w:cs="仿宋_GB2312"/>
          <w:color w:val="auto"/>
          <w:sz w:val="32"/>
          <w:szCs w:val="32"/>
          <w:highlight w:val="none"/>
          <w:lang w:val="en-US" w:eastAsia="zh-CN"/>
        </w:rPr>
        <w:t>局审核土地来源是否合法，土地权属是否明晰，项目建设指标是否符合条件，设计方案中的建筑规模、宿舍套型比例是否符合要求；住建部门审核建设运营方案是否符合保障性租赁住房的相关要求。</w:t>
      </w:r>
      <w:r>
        <w:rPr>
          <w:rFonts w:hint="eastAsia" w:ascii="仿宋_GB2312" w:hAnsi="仿宋_GB2312" w:cs="仿宋_GB2312"/>
          <w:color w:val="auto"/>
          <w:sz w:val="32"/>
          <w:szCs w:val="32"/>
          <w:highlight w:val="none"/>
          <w:lang w:val="en-US" w:eastAsia="zh-CN"/>
        </w:rPr>
        <w:t>区级项目由</w:t>
      </w:r>
      <w:r>
        <w:rPr>
          <w:rFonts w:hint="eastAsia" w:ascii="仿宋_GB2312" w:hAnsi="仿宋_GB2312" w:eastAsia="仿宋_GB2312" w:cs="仿宋_GB2312"/>
          <w:color w:val="auto"/>
          <w:sz w:val="32"/>
          <w:szCs w:val="32"/>
          <w:highlight w:val="none"/>
          <w:lang w:val="en-US" w:eastAsia="zh-CN"/>
        </w:rPr>
        <w:t>各部门联合审查后提出初步意见报区人民政府。</w:t>
      </w:r>
    </w:p>
    <w:p w14:paraId="2F2B509F">
      <w:pPr>
        <w:pStyle w:val="4"/>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19"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kern w:val="2"/>
          <w:sz w:val="32"/>
          <w:szCs w:val="32"/>
          <w:highlight w:val="none"/>
          <w:lang w:val="en-US" w:eastAsia="zh-CN" w:bidi="ar-SA"/>
        </w:rPr>
        <w:t>（三）审核决策。</w:t>
      </w:r>
      <w:r>
        <w:rPr>
          <w:rFonts w:hint="eastAsia" w:ascii="仿宋_GB2312" w:hAnsi="仿宋_GB2312" w:eastAsia="仿宋_GB2312" w:cs="仿宋_GB2312"/>
          <w:color w:val="auto"/>
          <w:kern w:val="2"/>
          <w:sz w:val="32"/>
          <w:szCs w:val="32"/>
          <w:highlight w:val="none"/>
          <w:lang w:val="en-US" w:eastAsia="zh-CN" w:bidi="ar-SA"/>
        </w:rPr>
        <w:t>市级项目由市保租办根据各部门审查意见作出决定。区级项目由</w:t>
      </w:r>
      <w:r>
        <w:rPr>
          <w:rFonts w:hint="eastAsia" w:ascii="仿宋_GB2312" w:hAnsi="仿宋_GB2312" w:eastAsia="仿宋_GB2312" w:cs="仿宋_GB2312"/>
          <w:color w:val="auto"/>
          <w:sz w:val="32"/>
          <w:szCs w:val="32"/>
          <w:highlight w:val="none"/>
          <w:lang w:val="en-US" w:eastAsia="zh-CN"/>
        </w:rPr>
        <w:t>区人民政府在各部门联合审查的基础上作出决定</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经批准同意的，由区保租办核发《福州市保障性租赁住房项目认定书》。</w:t>
      </w:r>
    </w:p>
    <w:p w14:paraId="12DE5372">
      <w:pPr>
        <w:pStyle w:val="4"/>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19"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kern w:val="2"/>
          <w:sz w:val="32"/>
          <w:szCs w:val="32"/>
          <w:highlight w:val="none"/>
          <w:lang w:val="en-US" w:eastAsia="zh-CN" w:bidi="ar-SA"/>
        </w:rPr>
        <w:t>（四）办理手续。</w:t>
      </w:r>
      <w:r>
        <w:rPr>
          <w:rFonts w:hint="eastAsia" w:ascii="仿宋_GB2312" w:hAnsi="仿宋_GB2312" w:eastAsia="仿宋_GB2312" w:cs="仿宋_GB2312"/>
          <w:color w:val="auto"/>
          <w:sz w:val="32"/>
          <w:szCs w:val="32"/>
          <w:highlight w:val="none"/>
          <w:lang w:val="en-US" w:eastAsia="zh-CN"/>
        </w:rPr>
        <w:t>产权人凭《福州市保障性租赁住房项目认定书》办理工程规划许可证、施工许可证等基建审批手续。</w:t>
      </w:r>
    </w:p>
    <w:p w14:paraId="4C33E33B">
      <w:pPr>
        <w:pStyle w:val="4"/>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19"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kern w:val="2"/>
          <w:sz w:val="32"/>
          <w:szCs w:val="32"/>
          <w:highlight w:val="none"/>
          <w:lang w:val="en-US" w:eastAsia="zh-CN" w:bidi="ar-SA"/>
        </w:rPr>
        <w:t>（五）竣工验收。</w:t>
      </w:r>
      <w:r>
        <w:rPr>
          <w:rFonts w:hint="eastAsia" w:ascii="仿宋_GB2312" w:hAnsi="仿宋_GB2312" w:eastAsia="仿宋_GB2312" w:cs="仿宋_GB2312"/>
          <w:color w:val="auto"/>
          <w:sz w:val="32"/>
          <w:szCs w:val="32"/>
          <w:highlight w:val="none"/>
          <w:lang w:val="en-US" w:eastAsia="zh-CN"/>
        </w:rPr>
        <w:t>宿舍型保障性租赁住房项目经相关部门联合验收核验后，依照我市相关规定办理不动产登记。</w:t>
      </w:r>
    </w:p>
    <w:p w14:paraId="6643EF3F">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0" w:leftChars="0" w:right="0" w:rightChars="0" w:firstLine="616"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项目监管</w:t>
      </w:r>
    </w:p>
    <w:p w14:paraId="2718D9B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19"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（一）整体确权。</w:t>
      </w:r>
      <w:r>
        <w:rPr>
          <w:rFonts w:hint="eastAsia" w:ascii="仿宋_GB2312" w:hAnsi="仿宋_GB2312" w:eastAsia="仿宋_GB2312" w:cs="仿宋_GB2312"/>
          <w:color w:val="auto"/>
          <w:sz w:val="32"/>
          <w:szCs w:val="32"/>
          <w:highlight w:val="none"/>
          <w:lang w:val="en-US" w:eastAsia="zh-CN"/>
        </w:rPr>
        <w:t>工业用地配建的保障性租赁住房项目须按规定办理整体产权、整体持有</w:t>
      </w:r>
      <w:r>
        <w:rPr>
          <w:rFonts w:hint="default" w:ascii="仿宋_GB2312" w:hAnsi="仿宋_GB2312" w:cs="仿宋_GB2312"/>
          <w:color w:val="auto"/>
          <w:sz w:val="32"/>
          <w:szCs w:val="32"/>
          <w:highlight w:val="none"/>
          <w:lang w:eastAsia="zh-CN"/>
        </w:rPr>
        <w:t>，</w:t>
      </w:r>
      <w:r>
        <w:rPr>
          <w:rFonts w:hint="default" w:ascii="仿宋_GB2312" w:hAnsi="仿宋_GB2312" w:cs="仿宋_GB2312"/>
          <w:color w:val="auto"/>
          <w:sz w:val="32"/>
          <w:szCs w:val="32"/>
          <w:highlight w:val="none"/>
          <w:u w:val="none"/>
          <w:lang w:eastAsia="zh-CN"/>
        </w:rPr>
        <w:t>如需抵押，应与主体工业项目按宗地整体办理抵押登记手续</w:t>
      </w:r>
      <w:r>
        <w:rPr>
          <w:rFonts w:hint="default"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未经市政府批准不得转让</w:t>
      </w:r>
      <w:r>
        <w:rPr>
          <w:rFonts w:hint="default"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确需转让的，须与主体工业项目用地按宗地整体转让；经批准转让的，原土地出让合同（含补充合同）载明的权利义务随之转移，新的受让人应当依法履约。</w:t>
      </w:r>
    </w:p>
    <w:p w14:paraId="605739B6">
      <w:pPr>
        <w:pStyle w:val="4"/>
        <w:keepNext w:val="0"/>
        <w:keepLines w:val="0"/>
        <w:pageBreakBefore w:val="0"/>
        <w:numPr>
          <w:ilvl w:val="0"/>
          <w:numId w:val="0"/>
        </w:numPr>
        <w:kinsoku/>
        <w:wordWrap/>
        <w:topLinePunct w:val="0"/>
        <w:autoSpaceDE/>
        <w:autoSpaceDN/>
        <w:bidi w:val="0"/>
        <w:adjustRightInd w:val="0"/>
        <w:snapToGrid w:val="0"/>
        <w:spacing w:line="600" w:lineRule="exact"/>
        <w:ind w:left="0" w:leftChars="0" w:right="0" w:rightChars="0" w:firstLine="619"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kern w:val="2"/>
          <w:sz w:val="32"/>
          <w:szCs w:val="32"/>
          <w:highlight w:val="none"/>
          <w:lang w:val="en-US" w:eastAsia="zh-CN"/>
        </w:rPr>
        <w:t>（二）租金标准。</w:t>
      </w:r>
      <w:r>
        <w:rPr>
          <w:rFonts w:hint="eastAsia" w:ascii="仿宋_GB2312" w:hAnsi="仿宋_GB2312" w:eastAsia="仿宋_GB2312" w:cs="仿宋_GB2312"/>
          <w:color w:val="auto"/>
          <w:sz w:val="32"/>
          <w:szCs w:val="32"/>
          <w:highlight w:val="none"/>
          <w:lang w:val="en-US" w:eastAsia="zh-CN"/>
        </w:rPr>
        <w:t>宿舍型保障性租赁住房可重点面向本单位或本园区职工供应，可按间或</w:t>
      </w:r>
      <w:r>
        <w:rPr>
          <w:rFonts w:hint="default" w:ascii="仿宋_GB2312" w:hAnsi="仿宋_GB2312" w:eastAsia="仿宋_GB2312" w:cs="仿宋_GB2312"/>
          <w:color w:val="auto"/>
          <w:sz w:val="32"/>
          <w:szCs w:val="32"/>
          <w:highlight w:val="none"/>
          <w:lang w:eastAsia="zh-CN"/>
        </w:rPr>
        <w:t>按</w:t>
      </w:r>
      <w:r>
        <w:rPr>
          <w:rFonts w:hint="eastAsia" w:ascii="仿宋_GB2312" w:hAnsi="仿宋_GB2312" w:eastAsia="仿宋_GB2312" w:cs="仿宋_GB2312"/>
          <w:color w:val="auto"/>
          <w:sz w:val="32"/>
          <w:szCs w:val="32"/>
          <w:highlight w:val="none"/>
          <w:lang w:val="en-US" w:eastAsia="zh-CN"/>
        </w:rPr>
        <w:t>床确定租金，租金标准应低于市场租金标准，园区管委会（或属地政府）</w:t>
      </w:r>
      <w:r>
        <w:rPr>
          <w:rFonts w:hint="default" w:ascii="仿宋_GB2312" w:hAnsi="仿宋_GB2312" w:eastAsia="仿宋_GB2312" w:cs="仿宋_GB2312"/>
          <w:color w:val="auto"/>
          <w:sz w:val="32"/>
          <w:szCs w:val="32"/>
          <w:highlight w:val="none"/>
          <w:lang w:eastAsia="zh-CN"/>
        </w:rPr>
        <w:t>负责</w:t>
      </w:r>
      <w:r>
        <w:rPr>
          <w:rFonts w:hint="eastAsia" w:ascii="仿宋_GB2312" w:hAnsi="仿宋_GB2312" w:eastAsia="仿宋_GB2312" w:cs="仿宋_GB2312"/>
          <w:color w:val="auto"/>
          <w:sz w:val="32"/>
          <w:szCs w:val="32"/>
          <w:highlight w:val="none"/>
          <w:lang w:val="en-US" w:eastAsia="zh-CN"/>
        </w:rPr>
        <w:t>对租金标准进行监督。</w:t>
      </w:r>
    </w:p>
    <w:p w14:paraId="628B186D">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19"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kern w:val="2"/>
          <w:sz w:val="32"/>
          <w:szCs w:val="32"/>
          <w:highlight w:val="none"/>
          <w:lang w:val="en-US" w:eastAsia="zh-CN"/>
        </w:rPr>
        <w:t>（三）日常监管。</w:t>
      </w:r>
      <w:r>
        <w:rPr>
          <w:rFonts w:hint="eastAsia" w:ascii="仿宋_GB2312" w:hAnsi="仿宋_GB2312" w:eastAsia="仿宋_GB2312" w:cs="仿宋_GB2312"/>
          <w:color w:val="auto"/>
          <w:sz w:val="32"/>
          <w:szCs w:val="32"/>
          <w:highlight w:val="none"/>
          <w:lang w:val="en-US" w:eastAsia="zh-CN"/>
        </w:rPr>
        <w:t>属地政府及园区管委会要加强对宿舍型保障性租赁住房的监管，建立日常巡查检查机制，原则上每年对本辖区内宿舍型保障性租赁住房项目进行全覆盖检查不少</w:t>
      </w:r>
      <w:r>
        <w:rPr>
          <w:rFonts w:hint="default" w:ascii="仿宋_GB2312" w:hAnsi="仿宋_GB2312" w:eastAsia="仿宋_GB2312" w:cs="仿宋_GB2312"/>
          <w:color w:val="auto"/>
          <w:sz w:val="32"/>
          <w:szCs w:val="32"/>
          <w:highlight w:val="none"/>
          <w:lang w:eastAsia="zh-CN"/>
        </w:rPr>
        <w:t>于</w:t>
      </w:r>
      <w:r>
        <w:rPr>
          <w:rFonts w:hint="eastAsia" w:ascii="仿宋_GB2312" w:hAnsi="仿宋_GB2312" w:eastAsia="仿宋_GB2312" w:cs="仿宋_GB2312"/>
          <w:color w:val="auto"/>
          <w:sz w:val="32"/>
          <w:szCs w:val="32"/>
          <w:highlight w:val="none"/>
          <w:lang w:val="en-US" w:eastAsia="zh-CN"/>
        </w:rPr>
        <w:t>一次，并将检查结果向社会公众公示。</w:t>
      </w:r>
    </w:p>
    <w:p w14:paraId="5B36F5C2">
      <w:pPr>
        <w:pStyle w:val="4"/>
        <w:keepNext w:val="0"/>
        <w:keepLines w:val="0"/>
        <w:pageBreakBefore w:val="0"/>
        <w:numPr>
          <w:ilvl w:val="0"/>
          <w:numId w:val="0"/>
        </w:numPr>
        <w:kinsoku/>
        <w:wordWrap/>
        <w:topLinePunct w:val="0"/>
        <w:autoSpaceDE/>
        <w:autoSpaceDN/>
        <w:bidi w:val="0"/>
        <w:adjustRightInd w:val="0"/>
        <w:snapToGrid w:val="0"/>
        <w:spacing w:line="600" w:lineRule="exact"/>
        <w:ind w:left="0" w:leftChars="0" w:right="0" w:rightChars="0" w:firstLine="616"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五、附则</w:t>
      </w:r>
    </w:p>
    <w:p w14:paraId="45C26B28">
      <w:pPr>
        <w:pStyle w:val="4"/>
        <w:keepNext w:val="0"/>
        <w:keepLines w:val="0"/>
        <w:pageBreakBefore w:val="0"/>
        <w:numPr>
          <w:ilvl w:val="0"/>
          <w:numId w:val="0"/>
        </w:numPr>
        <w:kinsoku/>
        <w:wordWrap/>
        <w:topLinePunct w:val="0"/>
        <w:autoSpaceDE/>
        <w:autoSpaceDN/>
        <w:bidi w:val="0"/>
        <w:adjustRightInd w:val="0"/>
        <w:snapToGrid w:val="0"/>
        <w:spacing w:line="600" w:lineRule="exact"/>
        <w:ind w:left="0" w:leftChars="0" w:right="0" w:rightChars="0" w:firstLine="616"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（一）本实施细则由市</w:t>
      </w:r>
      <w:r>
        <w:rPr>
          <w:rFonts w:hint="eastAsia" w:ascii="仿宋_GB2312" w:hAnsi="仿宋_GB2312" w:cs="仿宋_GB2312"/>
          <w:color w:val="auto"/>
          <w:sz w:val="32"/>
          <w:szCs w:val="32"/>
          <w:highlight w:val="none"/>
          <w:lang w:val="en-US" w:eastAsia="zh-CN"/>
        </w:rPr>
        <w:t>住房和城乡建设</w:t>
      </w:r>
      <w:r>
        <w:rPr>
          <w:rFonts w:hint="eastAsia" w:ascii="仿宋_GB2312" w:hAnsi="仿宋_GB2312" w:eastAsia="仿宋_GB2312" w:cs="仿宋_GB2312"/>
          <w:color w:val="auto"/>
          <w:sz w:val="32"/>
          <w:szCs w:val="32"/>
          <w:highlight w:val="none"/>
          <w:lang w:val="en-US" w:eastAsia="zh-CN"/>
        </w:rPr>
        <w:t>局、市自然资源和规划局负责解释。</w:t>
      </w:r>
    </w:p>
    <w:p w14:paraId="10F5CFF3">
      <w:pPr>
        <w:pStyle w:val="4"/>
        <w:keepNext w:val="0"/>
        <w:keepLines w:val="0"/>
        <w:pageBreakBefore w:val="0"/>
        <w:numPr>
          <w:ilvl w:val="0"/>
          <w:numId w:val="0"/>
        </w:numPr>
        <w:kinsoku/>
        <w:wordWrap/>
        <w:topLinePunct w:val="0"/>
        <w:autoSpaceDE/>
        <w:autoSpaceDN/>
        <w:bidi w:val="0"/>
        <w:adjustRightInd w:val="0"/>
        <w:snapToGrid w:val="0"/>
        <w:spacing w:line="600" w:lineRule="exact"/>
        <w:ind w:left="0" w:leftChars="0" w:right="0" w:rightChars="0" w:firstLine="616" w:firstLineChars="200"/>
        <w:jc w:val="both"/>
        <w:textAlignment w:val="auto"/>
        <w:rPr>
          <w:rFonts w:hint="default"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highlight w:val="none"/>
          <w:lang w:val="en-US" w:eastAsia="zh-CN"/>
        </w:rPr>
        <w:t>（二）本实施细则适用于四城区（鼓楼、台江、仓山、晋安），</w:t>
      </w:r>
      <w:r>
        <w:rPr>
          <w:rFonts w:hint="eastAsia" w:ascii="仿宋_GB2312" w:hAnsi="仿宋_GB2312" w:cs="仿宋_GB2312"/>
          <w:color w:val="auto"/>
          <w:sz w:val="32"/>
          <w:szCs w:val="32"/>
          <w:highlight w:val="none"/>
          <w:lang w:val="en-US" w:eastAsia="zh-CN"/>
        </w:rPr>
        <w:t>自2025年7月10日起施行，有效期5年。</w:t>
      </w:r>
      <w:r>
        <w:rPr>
          <w:rFonts w:hint="eastAsia" w:ascii="仿宋_GB2312" w:hAnsi="仿宋_GB2312" w:eastAsia="仿宋_GB2312" w:cs="仿宋_GB2312"/>
          <w:color w:val="auto"/>
          <w:sz w:val="32"/>
          <w:szCs w:val="32"/>
          <w:highlight w:val="none"/>
          <w:lang w:val="en-US" w:eastAsia="zh-CN"/>
        </w:rPr>
        <w:t>其他县（市）区可参照执行。</w:t>
      </w:r>
    </w:p>
    <w:p w14:paraId="7FB2C587">
      <w:r>
        <w:rPr>
          <w:rFonts w:hint="eastAsia" w:ascii="黑体" w:hAnsi="黑体" w:eastAsia="黑体" w:cs="黑体"/>
          <w:color w:val="auto"/>
          <w:kern w:val="2"/>
          <w:sz w:val="32"/>
          <w:szCs w:val="32"/>
          <w:highlight w:val="none"/>
          <w:lang w:val="en-US" w:eastAsia="zh-CN" w:bidi="ar-SA"/>
        </w:rPr>
        <w:br w:type="page"/>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573B0E"/>
    <w:rsid w:val="1D573B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next w:val="3"/>
    <w:qFormat/>
    <w:uiPriority w:val="0"/>
    <w:rPr>
      <w:rFonts w:ascii="Times New Roman" w:hAnsi="Times New Roman" w:cs="Times New Roman"/>
      <w:kern w:val="0"/>
      <w:sz w:val="18"/>
      <w:szCs w:val="18"/>
    </w:rPr>
  </w:style>
  <w:style w:type="paragraph" w:customStyle="1" w:styleId="3">
    <w:name w:val="正文缩进311"/>
    <w:next w:val="1"/>
    <w:qFormat/>
    <w:uiPriority w:val="0"/>
    <w:pPr>
      <w:wordWrap w:val="0"/>
      <w:ind w:left="3400"/>
      <w:jc w:val="both"/>
    </w:pPr>
    <w:rPr>
      <w:rFonts w:ascii="Calibri" w:hAnsi="Calibri" w:eastAsia="宋体" w:cs="Times New Roman"/>
      <w:sz w:val="21"/>
      <w:szCs w:val="22"/>
      <w:lang w:val="en-US" w:eastAsia="zh-CN" w:bidi="ar-SA"/>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2025-07-15T09:26:00Z</dcterms:created>
  <dc:creator>郑文静</dc:creator>
  <cp:lastModifiedBy>郑文静</cp:lastModifiedBy>
  <dcterms:modified xsi:type="dcterms:W3CDTF">2025-07-15T09:29:37Z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EDC129F23C99482797486E6D27D859DD_11</vt:lpwstr>
  </property>
  <property fmtid="{D5CDD505-2E9C-101B-9397-08002B2CF9AE}" pid="4" name="KSOTemplateDocerSaveRecord">
    <vt:lpwstr>eyJoZGlkIjoiM2I3MzNlMGVkYzI3Y2IyNWRhOGJhODk5YjVkYTA0M2EiLCJ1c2VySWQiOiIxNjg0MTI4MDM5In0=</vt:lpwstr>
  </property>
</Properties>
</file>