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341DB">
      <w:pPr>
        <w:spacing w:before="0" w:after="0" w:line="645" w:lineRule="atLeast"/>
        <w:jc w:val="center"/>
      </w:pPr>
      <w:r>
        <w:rPr>
          <w:rFonts w:ascii="仿宋" w:hAnsi="仿宋" w:eastAsia="仿宋" w:cs="仿宋"/>
          <w:b/>
          <w:bCs/>
          <w:sz w:val="48"/>
          <w:szCs w:val="48"/>
        </w:rPr>
        <w:t>仓山区市场监管局</w:t>
      </w:r>
    </w:p>
    <w:p w14:paraId="230A87C5">
      <w:pPr>
        <w:spacing w:before="0" w:after="0" w:line="645" w:lineRule="atLeast"/>
        <w:jc w:val="center"/>
      </w:pPr>
      <w:r>
        <w:rPr>
          <w:rFonts w:ascii="仿宋" w:hAnsi="仿宋" w:eastAsia="仿宋" w:cs="仿宋"/>
          <w:b/>
          <w:bCs/>
          <w:sz w:val="48"/>
          <w:szCs w:val="48"/>
        </w:rPr>
        <w:t>2025年法治政府建设工作报告</w:t>
      </w:r>
    </w:p>
    <w:p w14:paraId="0F7B641A">
      <w:pPr>
        <w:spacing w:before="0" w:after="0" w:line="555" w:lineRule="atLeast"/>
        <w:ind w:firstLine="885"/>
      </w:pPr>
      <w:r>
        <w:rPr>
          <w:rFonts w:ascii="Calibri" w:hAnsi="Calibri" w:eastAsia="Calibri" w:cs="Calibri"/>
          <w:b/>
          <w:bCs/>
          <w:sz w:val="44"/>
          <w:szCs w:val="44"/>
        </w:rPr>
        <w:t> </w:t>
      </w:r>
    </w:p>
    <w:p w14:paraId="3EB3B0A5">
      <w:pPr>
        <w:spacing w:line="555" w:lineRule="atLeast"/>
        <w:ind w:firstLine="645"/>
      </w:pPr>
      <w:r>
        <w:rPr>
          <w:rFonts w:ascii="仿宋" w:hAnsi="仿宋" w:eastAsia="仿宋" w:cs="仿宋"/>
          <w:sz w:val="32"/>
          <w:szCs w:val="32"/>
        </w:rPr>
        <w:t>2025年</w:t>
      </w:r>
      <w:r>
        <w:rPr>
          <w:rStyle w:val="5"/>
          <w:rFonts w:ascii="仿宋" w:hAnsi="仿宋" w:eastAsia="仿宋" w:cs="仿宋"/>
          <w:sz w:val="32"/>
          <w:szCs w:val="32"/>
        </w:rPr>
        <w:t>,</w:t>
      </w:r>
      <w:r>
        <w:rPr>
          <w:rFonts w:ascii="仿宋" w:hAnsi="仿宋" w:eastAsia="仿宋" w:cs="仿宋"/>
          <w:sz w:val="32"/>
          <w:szCs w:val="32"/>
        </w:rPr>
        <w:t>仓山区市场监管局坚持以习近平新时代中国特色社会主义思想为指导，深入贯彻落实党的二十大和二十届二中、三中、四中全会精神，在区委、区政府的坚强领导下，紧紧围绕“讲政治、强监管、促发展、保安全”的总体工作思路，以推动高质量发展为主题，以深化“放管服”改革为动力，以守住市场安全底线为关键，统筹推进优化营商环境、守护民生安全、规范市场秩序、强化监管执法等重点任务，为区域经济社会高质量发展贡献了市场监管力量。现结合我局工作实际情况，将2025年法制建设工作情况总结如下：</w:t>
      </w:r>
    </w:p>
    <w:p w14:paraId="2D6ADE14">
      <w:pPr>
        <w:spacing w:before="0" w:after="0" w:line="555" w:lineRule="atLeast"/>
        <w:ind w:firstLine="645"/>
      </w:pPr>
      <w:r>
        <w:rPr>
          <w:rFonts w:ascii="仿宋" w:hAnsi="仿宋" w:eastAsia="仿宋" w:cs="仿宋"/>
          <w:b/>
          <w:bCs/>
          <w:sz w:val="32"/>
          <w:szCs w:val="32"/>
        </w:rPr>
        <w:t>一、加强议事制度建设，落实干部学法制度。</w:t>
      </w:r>
    </w:p>
    <w:p w14:paraId="2EEB2F0C">
      <w:pPr>
        <w:spacing w:before="0" w:after="0" w:line="555" w:lineRule="atLeast"/>
        <w:ind w:firstLine="645"/>
      </w:pPr>
      <w:r>
        <w:rPr>
          <w:rFonts w:ascii="仿宋" w:hAnsi="仿宋" w:eastAsia="仿宋" w:cs="仿宋"/>
          <w:b/>
          <w:bCs/>
          <w:sz w:val="32"/>
          <w:szCs w:val="32"/>
        </w:rPr>
        <w:t>1.完善决策程序，健全决策机制。</w:t>
      </w:r>
      <w:r>
        <w:rPr>
          <w:rFonts w:ascii="仿宋" w:hAnsi="仿宋" w:eastAsia="仿宋" w:cs="仿宋"/>
          <w:sz w:val="32"/>
          <w:szCs w:val="32"/>
        </w:rPr>
        <w:t>我局不断健全重大行政决策规则，完善科学民主依法的行政决策程序，按照我局工作实际</w:t>
      </w:r>
      <w:r>
        <w:rPr>
          <w:rStyle w:val="5"/>
          <w:rFonts w:ascii="仿宋" w:hAnsi="仿宋" w:eastAsia="仿宋" w:cs="仿宋"/>
          <w:sz w:val="32"/>
          <w:szCs w:val="32"/>
        </w:rPr>
        <w:t>,</w:t>
      </w:r>
      <w:r>
        <w:rPr>
          <w:rFonts w:ascii="仿宋" w:hAnsi="仿宋" w:eastAsia="仿宋" w:cs="仿宋"/>
          <w:sz w:val="32"/>
          <w:szCs w:val="32"/>
        </w:rPr>
        <w:t>制定《仓山区</w:t>
      </w:r>
      <w:r>
        <w:rPr>
          <w:rStyle w:val="7"/>
          <w:rFonts w:ascii="仿宋" w:hAnsi="仿宋" w:eastAsia="仿宋" w:cs="仿宋"/>
          <w:sz w:val="32"/>
          <w:szCs w:val="32"/>
        </w:rPr>
        <w:t>市场监管局</w:t>
      </w:r>
      <w:r>
        <w:rPr>
          <w:rFonts w:ascii="仿宋" w:hAnsi="仿宋" w:eastAsia="仿宋" w:cs="仿宋"/>
          <w:sz w:val="32"/>
          <w:szCs w:val="32"/>
        </w:rPr>
        <w:t>关于印发局党组会议议事规则（试行）》及《仓山区市场监督管理局关于印发局务会议议事规则</w:t>
      </w:r>
      <w:r>
        <w:rPr>
          <w:rStyle w:val="5"/>
          <w:rFonts w:ascii="仿宋" w:hAnsi="仿宋" w:eastAsia="仿宋" w:cs="仿宋"/>
          <w:sz w:val="32"/>
          <w:szCs w:val="32"/>
        </w:rPr>
        <w:t>(</w:t>
      </w:r>
      <w:r>
        <w:rPr>
          <w:rFonts w:ascii="仿宋" w:hAnsi="仿宋" w:eastAsia="仿宋" w:cs="仿宋"/>
          <w:sz w:val="32"/>
          <w:szCs w:val="32"/>
        </w:rPr>
        <w:t>试行</w:t>
      </w:r>
      <w:r>
        <w:rPr>
          <w:rStyle w:val="5"/>
          <w:rFonts w:ascii="仿宋" w:hAnsi="仿宋" w:eastAsia="仿宋" w:cs="仿宋"/>
          <w:sz w:val="32"/>
          <w:szCs w:val="32"/>
        </w:rPr>
        <w:t>)</w:t>
      </w:r>
      <w:r>
        <w:rPr>
          <w:rFonts w:ascii="仿宋" w:hAnsi="仿宋" w:eastAsia="仿宋" w:cs="仿宋"/>
          <w:sz w:val="32"/>
          <w:szCs w:val="32"/>
        </w:rPr>
        <w:t>》，对涉及行政相对人切身利益的重大决策，要求事前广泛听取辖区企业代表、行风评议代表以及社会各阶层人士的意见和建议，并报法制机构及法律顾问进行合法性、合理性审查，最后形成报告上报局务会、局党组会集体研究决定。2025年我局共有32</w:t>
      </w:r>
      <w:r>
        <w:rPr>
          <w:rStyle w:val="5"/>
          <w:rFonts w:ascii="仿宋" w:hAnsi="仿宋" w:eastAsia="仿宋" w:cs="仿宋"/>
          <w:sz w:val="32"/>
          <w:szCs w:val="32"/>
        </w:rPr>
        <w:t>件需</w:t>
      </w:r>
      <w:r>
        <w:rPr>
          <w:rFonts w:ascii="仿宋" w:hAnsi="仿宋" w:eastAsia="仿宋" w:cs="仿宋"/>
          <w:sz w:val="32"/>
          <w:szCs w:val="32"/>
        </w:rPr>
        <w:t>延长审理期限、重大复杂、减轻、不予处罚案件上报局务会研究决定，通过集体研究进一步推进重大执法决定民主化、法治化。</w:t>
      </w:r>
    </w:p>
    <w:p w14:paraId="6FB59726">
      <w:pPr>
        <w:spacing w:line="555" w:lineRule="atLeast"/>
        <w:ind w:firstLine="645"/>
        <w:jc w:val="both"/>
      </w:pPr>
      <w:r>
        <w:rPr>
          <w:rFonts w:ascii="仿宋" w:hAnsi="仿宋" w:eastAsia="仿宋" w:cs="仿宋"/>
          <w:b/>
          <w:bCs/>
          <w:sz w:val="32"/>
          <w:szCs w:val="32"/>
        </w:rPr>
        <w:t>2.深入学习贯彻习近平法治思想。</w:t>
      </w:r>
      <w:r>
        <w:rPr>
          <w:rFonts w:ascii="仿宋" w:hAnsi="仿宋" w:eastAsia="仿宋" w:cs="仿宋"/>
          <w:sz w:val="32"/>
          <w:szCs w:val="32"/>
        </w:rPr>
        <w:t>坚持把学</w:t>
      </w:r>
      <w:r>
        <w:rPr>
          <w:rStyle w:val="5"/>
          <w:rFonts w:ascii="仿宋" w:hAnsi="仿宋" w:eastAsia="仿宋" w:cs="仿宋"/>
          <w:sz w:val="32"/>
          <w:szCs w:val="32"/>
        </w:rPr>
        <w:t>习</w:t>
      </w:r>
      <w:r>
        <w:rPr>
          <w:rStyle w:val="5"/>
          <w:rFonts w:hint="eastAsia" w:ascii="仿宋" w:hAnsi="仿宋" w:eastAsia="仿宋" w:cs="仿宋"/>
          <w:sz w:val="32"/>
          <w:szCs w:val="32"/>
          <w:lang w:val="en-US" w:eastAsia="zh-CN"/>
        </w:rPr>
        <w:t>贯彻</w:t>
      </w:r>
      <w:r>
        <w:rPr>
          <w:rStyle w:val="5"/>
          <w:rFonts w:ascii="仿宋" w:hAnsi="仿宋" w:eastAsia="仿宋" w:cs="仿宋"/>
          <w:sz w:val="32"/>
          <w:szCs w:val="32"/>
        </w:rPr>
        <w:t>习近平</w:t>
      </w:r>
      <w:r>
        <w:rPr>
          <w:rFonts w:ascii="仿宋" w:hAnsi="仿宋" w:eastAsia="仿宋" w:cs="仿宋"/>
          <w:sz w:val="32"/>
          <w:szCs w:val="32"/>
        </w:rPr>
        <w:t>法治思想与学习贯彻党的二十大精神、习近平总书记对市场监管工作的重要指示批示精神紧密结合，与传承弘扬“3820”战略工程思想精髓相结合，引导全体干部深刻领悟其核心要义、精神实质和实践要求，筑牢市场监管法治建设的理论根基。7月，组织党组书记讲授《从徙木立信到化风为俗</w:t>
      </w:r>
      <w:r>
        <w:rPr>
          <w:rFonts w:ascii="Calibri" w:hAnsi="Calibri" w:eastAsia="Calibri" w:cs="Calibri"/>
          <w:sz w:val="32"/>
          <w:szCs w:val="32"/>
        </w:rPr>
        <w:t> </w:t>
      </w:r>
      <w:r>
        <w:rPr>
          <w:rFonts w:ascii="仿宋" w:hAnsi="仿宋" w:eastAsia="仿宋" w:cs="仿宋"/>
          <w:sz w:val="32"/>
          <w:szCs w:val="32"/>
        </w:rPr>
        <w:t>--锲而不舍贯彻落实中央八项规定精神》专题党课，强调依法依规履职与严守党的纪律的有机统一；12月，邀请市委讲师团副团长林梅教授作学习贯彻</w:t>
      </w:r>
      <w:r>
        <w:rPr>
          <w:rStyle w:val="12"/>
          <w:rFonts w:ascii="仿宋" w:hAnsi="仿宋" w:eastAsia="仿宋" w:cs="仿宋"/>
          <w:sz w:val="32"/>
          <w:szCs w:val="32"/>
        </w:rPr>
        <w:t>党的二十届</w:t>
      </w:r>
      <w:r>
        <w:rPr>
          <w:rFonts w:ascii="仿宋" w:hAnsi="仿宋" w:eastAsia="仿宋" w:cs="仿宋"/>
          <w:sz w:val="32"/>
          <w:szCs w:val="32"/>
        </w:rPr>
        <w:t>四中全会精神宣讲报告会，在解读全会精神中融入法治和纪律教育；利用福建干部网络学院、市场监管总局网络学院等平台，组织全局100名在编人员完成包含法治内容的线上学习任务，确保学习全覆盖。</w:t>
      </w:r>
    </w:p>
    <w:p w14:paraId="6DA968E1">
      <w:pPr>
        <w:spacing w:line="555" w:lineRule="atLeast"/>
        <w:ind w:firstLine="645"/>
        <w:jc w:val="both"/>
      </w:pPr>
      <w:r>
        <w:rPr>
          <w:rFonts w:ascii="仿宋" w:hAnsi="仿宋" w:eastAsia="仿宋" w:cs="仿宋"/>
          <w:b/>
          <w:bCs/>
          <w:sz w:val="32"/>
          <w:szCs w:val="32"/>
        </w:rPr>
        <w:t>3.持续创新打造法治文化载体。</w:t>
      </w:r>
      <w:r>
        <w:rPr>
          <w:rFonts w:ascii="仿宋" w:hAnsi="仿宋" w:eastAsia="仿宋" w:cs="仿宋"/>
          <w:sz w:val="32"/>
          <w:szCs w:val="32"/>
        </w:rPr>
        <w:t>我局目前已推出《法制园地》刊物</w:t>
      </w:r>
      <w:r>
        <w:rPr>
          <w:rStyle w:val="5"/>
          <w:rFonts w:ascii="仿宋" w:hAnsi="仿宋" w:eastAsia="仿宋" w:cs="仿宋"/>
          <w:sz w:val="32"/>
          <w:szCs w:val="32"/>
        </w:rPr>
        <w:t>十期</w:t>
      </w:r>
      <w:r>
        <w:rPr>
          <w:rFonts w:ascii="仿宋" w:hAnsi="仿宋" w:eastAsia="仿宋" w:cs="仿宋"/>
          <w:sz w:val="32"/>
          <w:szCs w:val="32"/>
        </w:rPr>
        <w:t>，设置有：新法速递、以案释法、案例分析、律师在线、律师讲堂、刊物摘要、执法实践等模块，进一步规范行政执法行为，不断提升全局执法人员及工作人员的法律素养和业务处理能力，防范执法中存在的风险，为全局干部、职工提供一个学习、参考、探讨的平台。</w:t>
      </w:r>
    </w:p>
    <w:p w14:paraId="15039329">
      <w:pPr>
        <w:spacing w:line="555" w:lineRule="atLeast"/>
        <w:ind w:firstLine="645"/>
      </w:pPr>
      <w:r>
        <w:rPr>
          <w:rFonts w:ascii="仿宋" w:hAnsi="仿宋" w:eastAsia="仿宋" w:cs="仿宋"/>
          <w:b/>
          <w:bCs/>
          <w:sz w:val="32"/>
          <w:szCs w:val="32"/>
        </w:rPr>
        <w:t>二、加强规范性文件管理、适时调整权责清单。</w:t>
      </w:r>
    </w:p>
    <w:p w14:paraId="2E0B7954">
      <w:pPr>
        <w:spacing w:line="555" w:lineRule="atLeast"/>
        <w:ind w:firstLine="645"/>
      </w:pPr>
      <w:r>
        <w:rPr>
          <w:rFonts w:ascii="仿宋" w:hAnsi="仿宋" w:eastAsia="仿宋" w:cs="仿宋"/>
          <w:b/>
          <w:bCs/>
          <w:sz w:val="32"/>
          <w:szCs w:val="32"/>
        </w:rPr>
        <w:t>1.认真开展法律、法规及规范性文件的征求意见工作。</w:t>
      </w:r>
      <w:r>
        <w:rPr>
          <w:rFonts w:ascii="仿宋" w:hAnsi="仿宋" w:eastAsia="仿宋" w:cs="仿宋"/>
          <w:sz w:val="32"/>
          <w:szCs w:val="32"/>
        </w:rPr>
        <w:t>近年来我局积极组织法律、法规及规范性文件的征求意见工作，为上级部门出台法律法规及规范性文件提出意见建议。</w:t>
      </w:r>
    </w:p>
    <w:p w14:paraId="0111E114">
      <w:pPr>
        <w:spacing w:line="555" w:lineRule="atLeast"/>
        <w:ind w:firstLine="645"/>
      </w:pPr>
      <w:r>
        <w:rPr>
          <w:rFonts w:ascii="仿宋" w:hAnsi="仿宋" w:eastAsia="仿宋" w:cs="仿宋"/>
          <w:b/>
          <w:bCs/>
          <w:sz w:val="32"/>
          <w:szCs w:val="32"/>
        </w:rPr>
        <w:t>2.完善规范性文件发布审查备案制度及规范性文件定期清理制度。</w:t>
      </w:r>
      <w:r>
        <w:rPr>
          <w:rFonts w:ascii="仿宋" w:hAnsi="仿宋" w:eastAsia="仿宋" w:cs="仿宋"/>
          <w:sz w:val="32"/>
          <w:szCs w:val="32"/>
        </w:rPr>
        <w:t>我局严格执行规范性文件发布审查备案制度，及时成立了规范性文件清理工作领导小组。严格按照上级部门落实规范性文件专项清理及定期清理相结合的工作要求，积极组织开展规范性文件和其他政策文件的清理工作，按照“谁制定、谁清理、谁实施、谁清理”的原则，开展规范性文件专项清理工作。</w:t>
      </w:r>
    </w:p>
    <w:p w14:paraId="55FF0311">
      <w:pPr>
        <w:spacing w:line="555" w:lineRule="atLeast"/>
        <w:ind w:firstLine="645"/>
      </w:pPr>
      <w:r>
        <w:rPr>
          <w:rFonts w:ascii="仿宋" w:hAnsi="仿宋" w:eastAsia="仿宋" w:cs="仿宋"/>
          <w:b/>
          <w:bCs/>
          <w:sz w:val="32"/>
          <w:szCs w:val="32"/>
        </w:rPr>
        <w:t>3.及时公开权责清单及行政执法目录，促进规范履职。</w:t>
      </w:r>
      <w:r>
        <w:rPr>
          <w:rFonts w:ascii="仿宋" w:hAnsi="仿宋" w:eastAsia="仿宋" w:cs="仿宋"/>
          <w:sz w:val="32"/>
          <w:szCs w:val="32"/>
        </w:rPr>
        <w:t>为全面贯彻落实国务院、省市政府关于“简政放权，放管结合、优化服务”改革的总体要求，坚持“法无授权不可为、法定职责必须为”，进一步完善我局权责制度，确保权责的合法性、实效性和权威性。我局经法律顾问合法性审查，及时对外公开发布了《仓山区市场监督管理局权责清单》、《仓山区市场监督管理局行政执法事项目录》。</w:t>
      </w:r>
    </w:p>
    <w:p w14:paraId="4FD52B75">
      <w:pPr>
        <w:spacing w:line="555" w:lineRule="atLeast"/>
        <w:ind w:firstLine="645"/>
      </w:pPr>
      <w:r>
        <w:rPr>
          <w:rFonts w:ascii="仿宋" w:hAnsi="仿宋" w:eastAsia="仿宋" w:cs="仿宋"/>
          <w:b/>
          <w:bCs/>
          <w:sz w:val="32"/>
          <w:szCs w:val="32"/>
        </w:rPr>
        <w:t>三、规范行政执法行为，提高行政执法质量。</w:t>
      </w:r>
    </w:p>
    <w:p w14:paraId="05C9BC92">
      <w:pPr>
        <w:spacing w:line="555" w:lineRule="atLeast"/>
        <w:ind w:firstLine="645"/>
      </w:pPr>
      <w:r>
        <w:rPr>
          <w:rFonts w:ascii="仿宋" w:hAnsi="仿宋" w:eastAsia="仿宋" w:cs="仿宋"/>
          <w:b/>
          <w:bCs/>
          <w:sz w:val="32"/>
          <w:szCs w:val="32"/>
        </w:rPr>
        <w:t>1.积极推行行政执法</w:t>
      </w:r>
      <w:r>
        <w:rPr>
          <w:rFonts w:hint="eastAsia" w:ascii="仿宋" w:hAnsi="仿宋" w:eastAsia="仿宋" w:cs="仿宋"/>
          <w:b/>
          <w:bCs/>
          <w:sz w:val="32"/>
          <w:szCs w:val="32"/>
          <w:lang w:eastAsia="zh-CN"/>
        </w:rPr>
        <w:t>“</w:t>
      </w:r>
      <w:r>
        <w:rPr>
          <w:rFonts w:ascii="仿宋" w:hAnsi="仿宋" w:eastAsia="仿宋" w:cs="仿宋"/>
          <w:b/>
          <w:bCs/>
          <w:sz w:val="32"/>
          <w:szCs w:val="32"/>
        </w:rPr>
        <w:t>三项制度</w:t>
      </w:r>
      <w:r>
        <w:rPr>
          <w:rFonts w:hint="eastAsia" w:ascii="仿宋" w:hAnsi="仿宋" w:eastAsia="仿宋" w:cs="仿宋"/>
          <w:b/>
          <w:bCs/>
          <w:sz w:val="32"/>
          <w:szCs w:val="32"/>
          <w:lang w:eastAsia="zh-CN"/>
        </w:rPr>
        <w:t>”</w:t>
      </w:r>
      <w:r>
        <w:rPr>
          <w:rFonts w:ascii="仿宋" w:hAnsi="仿宋" w:eastAsia="仿宋" w:cs="仿宋"/>
          <w:b/>
          <w:bCs/>
          <w:sz w:val="32"/>
          <w:szCs w:val="32"/>
        </w:rPr>
        <w:t>建设。</w:t>
      </w:r>
      <w:r>
        <w:rPr>
          <w:rFonts w:ascii="仿宋" w:hAnsi="仿宋" w:eastAsia="仿宋" w:cs="仿宋"/>
          <w:sz w:val="32"/>
          <w:szCs w:val="32"/>
        </w:rPr>
        <w:t>一是强化组织领导。及时成立了以单位主要负责人为组长的全面推行“三项制度”工作领导小组，确保</w:t>
      </w:r>
      <w:r>
        <w:rPr>
          <w:rFonts w:hint="eastAsia" w:ascii="仿宋" w:hAnsi="仿宋" w:eastAsia="仿宋" w:cs="仿宋"/>
          <w:sz w:val="32"/>
          <w:szCs w:val="32"/>
          <w:lang w:eastAsia="zh-CN"/>
        </w:rPr>
        <w:t>“</w:t>
      </w:r>
      <w:r>
        <w:rPr>
          <w:rFonts w:ascii="仿宋" w:hAnsi="仿宋" w:eastAsia="仿宋" w:cs="仿宋"/>
          <w:sz w:val="32"/>
          <w:szCs w:val="32"/>
        </w:rPr>
        <w:t>三项制度</w:t>
      </w:r>
      <w:r>
        <w:rPr>
          <w:rFonts w:hint="eastAsia" w:ascii="仿宋" w:hAnsi="仿宋" w:eastAsia="仿宋" w:cs="仿宋"/>
          <w:sz w:val="32"/>
          <w:szCs w:val="32"/>
          <w:lang w:eastAsia="zh-CN"/>
        </w:rPr>
        <w:t>”</w:t>
      </w:r>
      <w:r>
        <w:rPr>
          <w:rFonts w:ascii="仿宋" w:hAnsi="仿宋" w:eastAsia="仿宋" w:cs="仿宋"/>
          <w:sz w:val="32"/>
          <w:szCs w:val="32"/>
        </w:rPr>
        <w:t>取得实效。二是推进制度建设。按照上级部门对</w:t>
      </w:r>
      <w:r>
        <w:rPr>
          <w:rFonts w:hint="eastAsia" w:ascii="仿宋" w:hAnsi="仿宋" w:eastAsia="仿宋" w:cs="仿宋"/>
          <w:sz w:val="32"/>
          <w:szCs w:val="32"/>
          <w:lang w:eastAsia="zh-CN"/>
        </w:rPr>
        <w:t>“</w:t>
      </w:r>
      <w:r>
        <w:rPr>
          <w:rFonts w:ascii="仿宋" w:hAnsi="仿宋" w:eastAsia="仿宋" w:cs="仿宋"/>
          <w:sz w:val="32"/>
          <w:szCs w:val="32"/>
        </w:rPr>
        <w:t>三项制度</w:t>
      </w:r>
      <w:r>
        <w:rPr>
          <w:rFonts w:hint="eastAsia" w:ascii="仿宋" w:hAnsi="仿宋" w:eastAsia="仿宋" w:cs="仿宋"/>
          <w:sz w:val="32"/>
          <w:szCs w:val="32"/>
          <w:lang w:eastAsia="zh-CN"/>
        </w:rPr>
        <w:t>”</w:t>
      </w:r>
      <w:r>
        <w:rPr>
          <w:rFonts w:ascii="仿宋" w:hAnsi="仿宋" w:eastAsia="仿宋" w:cs="仿宋"/>
          <w:sz w:val="32"/>
          <w:szCs w:val="32"/>
        </w:rPr>
        <w:t>建设的总体部署，结合我区市场监管工作实际，我局制定了《仓山区市场监督管理局关于印发《行政执法公示规定》的通知》、《仓山区市场监督管理局关于印发《行政执法全过程记录规定》的通知》、《仓山区市场监督管理局关于印发《重大行政执法决定法制审核与备案规定》的通知》，为保证三项制度顺利实施，我局制定了《仓山区市场监督管理局全面推行行政执法公示制度、执法全过程记录制度、重大执法决定法制审核制度工作方案》，同时明确了《福州市仓山区市场监督管理局全面推行行政执法“三项制度”任务分解表》，对全面推进</w:t>
      </w:r>
      <w:r>
        <w:rPr>
          <w:rFonts w:hint="eastAsia" w:ascii="仿宋" w:hAnsi="仿宋" w:eastAsia="仿宋" w:cs="仿宋"/>
          <w:sz w:val="32"/>
          <w:szCs w:val="32"/>
          <w:lang w:eastAsia="zh-CN"/>
        </w:rPr>
        <w:t>“</w:t>
      </w:r>
      <w:r>
        <w:rPr>
          <w:rFonts w:ascii="仿宋" w:hAnsi="仿宋" w:eastAsia="仿宋" w:cs="仿宋"/>
          <w:sz w:val="32"/>
          <w:szCs w:val="32"/>
        </w:rPr>
        <w:t>三项制度</w:t>
      </w:r>
      <w:r>
        <w:rPr>
          <w:rFonts w:hint="eastAsia" w:ascii="仿宋" w:hAnsi="仿宋" w:eastAsia="仿宋" w:cs="仿宋"/>
          <w:sz w:val="32"/>
          <w:szCs w:val="32"/>
          <w:lang w:eastAsia="zh-CN"/>
        </w:rPr>
        <w:t>”</w:t>
      </w:r>
      <w:r>
        <w:rPr>
          <w:rFonts w:ascii="仿宋" w:hAnsi="仿宋" w:eastAsia="仿宋" w:cs="仿宋"/>
          <w:sz w:val="32"/>
          <w:szCs w:val="32"/>
        </w:rPr>
        <w:t>的工作任务、具体措施、具体要求、牵头科室、责任单位进行分工明确，避免在实行过程中出现推诿扯皮现象，保证</w:t>
      </w:r>
      <w:r>
        <w:rPr>
          <w:rFonts w:hint="eastAsia" w:ascii="仿宋" w:hAnsi="仿宋" w:eastAsia="仿宋" w:cs="仿宋"/>
          <w:sz w:val="32"/>
          <w:szCs w:val="32"/>
          <w:lang w:eastAsia="zh-CN"/>
        </w:rPr>
        <w:t>“</w:t>
      </w:r>
      <w:r>
        <w:rPr>
          <w:rFonts w:ascii="仿宋" w:hAnsi="仿宋" w:eastAsia="仿宋" w:cs="仿宋"/>
          <w:sz w:val="32"/>
          <w:szCs w:val="32"/>
        </w:rPr>
        <w:t>三项制度</w:t>
      </w:r>
      <w:r>
        <w:rPr>
          <w:rFonts w:hint="eastAsia" w:ascii="仿宋" w:hAnsi="仿宋" w:eastAsia="仿宋" w:cs="仿宋"/>
          <w:sz w:val="32"/>
          <w:szCs w:val="32"/>
          <w:lang w:eastAsia="zh-CN"/>
        </w:rPr>
        <w:t>”</w:t>
      </w:r>
      <w:r>
        <w:rPr>
          <w:rFonts w:ascii="仿宋" w:hAnsi="仿宋" w:eastAsia="仿宋" w:cs="仿宋"/>
          <w:sz w:val="32"/>
          <w:szCs w:val="32"/>
        </w:rPr>
        <w:t>的进一步落实。三是持续加强依法行政制度保障。为进一步规范行政执法程序，全面落实执法全过程记录制度，促进市场监管部门严格公正文明执法，我局为每一位执法人员配备执法记录仪、执法办案包，此外全局还配备了执法车辆12部、照相机23台、录音笔23支、摄像机4台、便携式打印机46台、便携式复印机19台，执法终端21台、采集站14台，为执法人员履职提供了保障。</w:t>
      </w:r>
    </w:p>
    <w:p w14:paraId="1A1C02F9">
      <w:pPr>
        <w:spacing w:line="555" w:lineRule="atLeast"/>
        <w:ind w:firstLine="645"/>
        <w:jc w:val="both"/>
      </w:pPr>
      <w:r>
        <w:rPr>
          <w:rFonts w:ascii="仿宋" w:hAnsi="仿宋" w:eastAsia="仿宋" w:cs="仿宋"/>
          <w:b/>
          <w:bCs/>
          <w:sz w:val="32"/>
          <w:szCs w:val="32"/>
        </w:rPr>
        <w:t>2.进一步规范行政处罚自由裁量权，推行包容审慎监管。</w:t>
      </w:r>
      <w:r>
        <w:rPr>
          <w:rFonts w:ascii="仿宋" w:hAnsi="仿宋" w:eastAsia="仿宋" w:cs="仿宋"/>
          <w:sz w:val="32"/>
          <w:szCs w:val="32"/>
        </w:rPr>
        <w:t>为进一步规范行使自由裁量权，促进严格、规范、公正、文明执法，营造稳定公平透明、可预期的法治化营商环境，省市场监督管理局、省药品监督管理局相继出台了《福建省市场监督管理行政处罚裁量权适用规则》、《福建省药品监管行政处罚裁量适用细则》，各级市场监管部门也陆续推出《市场监管行政违法行为首违不罚、轻微免罚清单（一）》、《福建省市场监管领域行政执法裁量四张清单（2025年版）》、《福建省药品监督管理领域行政执法裁量四张清单（修订）》、《福州市市场监管领域不予行政处罚裁量清单（2023年版）》，对新技术、新产业、新业态、新模式执行包容审慎监管方式，提高监管精准化水平，对符合清单之列的违法行为严格执行上级处罚标准。2025年17件行政处罚案件适用省、市各级裁量规则及上级部门各类“四张清单”减轻处罚或不予处罚，减免金额共计155.27万元。</w:t>
      </w:r>
    </w:p>
    <w:p w14:paraId="475D38DE">
      <w:pPr>
        <w:spacing w:before="0" w:after="0" w:line="555" w:lineRule="atLeast"/>
        <w:ind w:firstLine="645"/>
      </w:pPr>
      <w:r>
        <w:rPr>
          <w:rFonts w:ascii="仿宋" w:hAnsi="仿宋" w:eastAsia="仿宋" w:cs="仿宋"/>
          <w:b/>
          <w:bCs/>
          <w:sz w:val="32"/>
          <w:szCs w:val="32"/>
        </w:rPr>
        <w:t>3.强化案件核审力度，加强质量检查评议工作。</w:t>
      </w:r>
      <w:r>
        <w:rPr>
          <w:rFonts w:ascii="仿宋" w:hAnsi="仿宋" w:eastAsia="仿宋" w:cs="仿宋"/>
          <w:sz w:val="32"/>
          <w:szCs w:val="32"/>
        </w:rPr>
        <w:t>一是为了进一步强化执法监督、规范执法行为，促进我局行政执法水平和效率的提高，我局各级核审人员严格按照《市场监督管理机关行政处罚程序规定》，严把案件核审质量关，2025年我局共立案查处各类案件1121起，罚没金额220.15万元，各级核审人员共核审行政处罚案件415起；二是把开展行政案卷质量检查评议工作作为强化执法监督检查、规范执法行为的一个有效载体。2025年我局开展行政处罚案卷质量检查评议工作1次</w:t>
      </w:r>
      <w:r>
        <w:rPr>
          <w:rFonts w:hint="eastAsia" w:ascii="仿宋" w:hAnsi="仿宋" w:eastAsia="仿宋" w:cs="仿宋"/>
          <w:sz w:val="32"/>
          <w:szCs w:val="32"/>
          <w:lang w:eastAsia="zh-CN"/>
        </w:rPr>
        <w:t>，</w:t>
      </w:r>
      <w:r>
        <w:rPr>
          <w:rFonts w:ascii="仿宋" w:hAnsi="仿宋" w:eastAsia="仿宋" w:cs="仿宋"/>
          <w:sz w:val="32"/>
          <w:szCs w:val="32"/>
        </w:rPr>
        <w:t>共抽查2024年各办案机构已办结的适用一般程序的行政处罚案卷共27件，评查结束后将对案件存在问题予以通报。</w:t>
      </w:r>
    </w:p>
    <w:p w14:paraId="15D3E50A">
      <w:pPr>
        <w:spacing w:line="555" w:lineRule="atLeast"/>
        <w:ind w:firstLine="645"/>
      </w:pPr>
      <w:r>
        <w:rPr>
          <w:rFonts w:ascii="仿宋" w:hAnsi="仿宋" w:eastAsia="仿宋" w:cs="仿宋"/>
          <w:b/>
          <w:bCs/>
          <w:sz w:val="32"/>
          <w:szCs w:val="32"/>
        </w:rPr>
        <w:t>4.推动闽执法平台建设工作，规范行政处罚。</w:t>
      </w:r>
      <w:r>
        <w:rPr>
          <w:rFonts w:ascii="仿宋" w:hAnsi="仿宋" w:eastAsia="仿宋" w:cs="仿宋"/>
          <w:sz w:val="32"/>
          <w:szCs w:val="32"/>
        </w:rPr>
        <w:t>根据上级部门的要求，我局办理的行政处罚案件全部录入“闽执法”平台，并及时公示。通过网上办理行政处罚案件实现严格规范、公正文明执法，防止执法人员随意执法，有效减少“人情案”的发生，并将行政处罚信息公示工作作为执法办案的一个重要程序，案件办结后按照“谁办案、谁录入、谁公示、谁负责”原则，符合公示条件的全部在“国家企业信用信息公示系统”中予以公示。</w:t>
      </w:r>
    </w:p>
    <w:p w14:paraId="25EB73F3">
      <w:pPr>
        <w:spacing w:line="555" w:lineRule="atLeast"/>
      </w:pPr>
      <w:r>
        <w:rPr>
          <w:rFonts w:ascii="仿宋" w:hAnsi="仿宋" w:eastAsia="仿宋" w:cs="仿宋"/>
          <w:b/>
          <w:bCs/>
          <w:sz w:val="32"/>
          <w:szCs w:val="32"/>
        </w:rPr>
        <w:t>5.组织开展涉企检查工作。</w:t>
      </w:r>
      <w:r>
        <w:rPr>
          <w:rFonts w:ascii="仿宋" w:hAnsi="仿宋" w:eastAsia="仿宋" w:cs="仿宋"/>
          <w:sz w:val="32"/>
          <w:szCs w:val="32"/>
        </w:rPr>
        <w:t>一是根据区司法局《关于转发〈福建省严格规范涉企检查若干措施〉的通知》的要求，全面清理四类“严禁实施行政检查”；二是为了减少涉企检查、减轻企业负担、减轻基层负担，我局及时下发了“关于严格规范涉企行政检查若干措施的通知”，要求各业务科室及办案单位认真组织学习，严格贯彻落实涉企检查通知精神，在对涉企日常检查、个案检查和专项检查要严格履行批准、备案、公布程序，同时规范涉企检查文书范本，不断优化我区法治化营商环境。</w:t>
      </w:r>
    </w:p>
    <w:p w14:paraId="12789E15">
      <w:pPr>
        <w:spacing w:line="555" w:lineRule="atLeast"/>
        <w:ind w:firstLine="645"/>
      </w:pPr>
      <w:r>
        <w:rPr>
          <w:rFonts w:ascii="仿宋" w:hAnsi="仿宋" w:eastAsia="仿宋" w:cs="仿宋"/>
          <w:b/>
          <w:bCs/>
          <w:sz w:val="32"/>
          <w:szCs w:val="32"/>
        </w:rPr>
        <w:t>6.积极组织行政执法资格专业法律知识考试。</w:t>
      </w:r>
      <w:r>
        <w:rPr>
          <w:rFonts w:ascii="仿宋" w:hAnsi="仿宋" w:eastAsia="仿宋" w:cs="仿宋"/>
          <w:sz w:val="32"/>
          <w:szCs w:val="32"/>
        </w:rPr>
        <w:t>2025年9月份，为扩大我局执法人员队伍，我局积极组织7名新调入及新录用的在编人员参加福建省市场监督管理局组织的2025年度行政执法资格专业法律知识考试，目前全局取得行政执法证人员总数80人。</w:t>
      </w:r>
    </w:p>
    <w:p w14:paraId="418DE7A3">
      <w:pPr>
        <w:spacing w:line="555" w:lineRule="atLeast"/>
        <w:ind w:firstLine="645"/>
      </w:pPr>
      <w:r>
        <w:rPr>
          <w:rFonts w:ascii="仿宋" w:hAnsi="仿宋" w:eastAsia="仿宋" w:cs="仿宋"/>
          <w:b/>
          <w:bCs/>
          <w:sz w:val="32"/>
          <w:szCs w:val="32"/>
        </w:rPr>
        <w:t>四、规范行政审批事项，推进行政审批制度改革。</w:t>
      </w:r>
    </w:p>
    <w:p w14:paraId="0EACD640">
      <w:pPr>
        <w:spacing w:line="555" w:lineRule="atLeast"/>
        <w:ind w:firstLine="645"/>
      </w:pPr>
      <w:r>
        <w:rPr>
          <w:rFonts w:ascii="仿宋" w:hAnsi="仿宋" w:eastAsia="仿宋" w:cs="仿宋"/>
          <w:sz w:val="32"/>
          <w:szCs w:val="32"/>
        </w:rPr>
        <w:t>我局按照国务院关于推进简政放权、放管结合、转变政府职能等政策精神，积极优化营商环境。</w:t>
      </w:r>
    </w:p>
    <w:p w14:paraId="79D22CF2">
      <w:pPr>
        <w:spacing w:line="555" w:lineRule="atLeast"/>
        <w:ind w:firstLine="645"/>
      </w:pPr>
      <w:r>
        <w:rPr>
          <w:rFonts w:ascii="仿宋" w:hAnsi="仿宋" w:eastAsia="仿宋" w:cs="仿宋"/>
          <w:b/>
          <w:bCs/>
          <w:sz w:val="32"/>
          <w:szCs w:val="32"/>
        </w:rPr>
        <w:t>1.落实企业“迁移登记一件事”改革举措。</w:t>
      </w:r>
      <w:r>
        <w:rPr>
          <w:rFonts w:ascii="仿宋" w:hAnsi="仿宋" w:eastAsia="仿宋" w:cs="仿宋"/>
          <w:sz w:val="32"/>
          <w:szCs w:val="32"/>
        </w:rPr>
        <w:t>切实“减材料、减时限、</w:t>
      </w:r>
      <w:r>
        <w:rPr>
          <w:rStyle w:val="5"/>
          <w:rFonts w:ascii="仿宋" w:hAnsi="仿宋" w:eastAsia="仿宋" w:cs="仿宋"/>
          <w:sz w:val="32"/>
          <w:szCs w:val="32"/>
        </w:rPr>
        <w:t>减跑办</w:t>
      </w:r>
      <w:r>
        <w:rPr>
          <w:rFonts w:ascii="仿宋" w:hAnsi="仿宋" w:eastAsia="仿宋" w:cs="仿宋"/>
          <w:sz w:val="32"/>
          <w:szCs w:val="32"/>
        </w:rPr>
        <w:t>”，极大提升办事体验。2025年全年，迁入我区企业达2271家。</w:t>
      </w:r>
    </w:p>
    <w:p w14:paraId="1C17F3A2">
      <w:pPr>
        <w:spacing w:line="555" w:lineRule="atLeast"/>
        <w:ind w:firstLine="645"/>
      </w:pPr>
      <w:r>
        <w:rPr>
          <w:rFonts w:ascii="仿宋" w:hAnsi="仿宋" w:eastAsia="仿宋" w:cs="仿宋"/>
          <w:b/>
          <w:bCs/>
          <w:sz w:val="32"/>
          <w:szCs w:val="32"/>
        </w:rPr>
        <w:t>2.助力经营主体转型升级。</w:t>
      </w:r>
      <w:r>
        <w:rPr>
          <w:rFonts w:ascii="仿宋" w:hAnsi="仿宋" w:eastAsia="仿宋" w:cs="仿宋"/>
          <w:sz w:val="32"/>
          <w:szCs w:val="32"/>
        </w:rPr>
        <w:t>支持个体工商户采用“直接变更登记”的方式转型为企业。2025年，已为26家个体工商户成功办理“个转企”登记。</w:t>
      </w:r>
    </w:p>
    <w:p w14:paraId="2D2378A8">
      <w:pPr>
        <w:spacing w:line="555" w:lineRule="atLeast"/>
        <w:ind w:firstLine="645"/>
      </w:pPr>
      <w:r>
        <w:rPr>
          <w:rFonts w:ascii="仿宋" w:hAnsi="仿宋" w:eastAsia="仿宋" w:cs="仿宋"/>
          <w:b/>
          <w:bCs/>
          <w:sz w:val="32"/>
          <w:szCs w:val="32"/>
        </w:rPr>
        <w:t>3.不断提升政务服务数字化、智能化、便利化水平。</w:t>
      </w:r>
      <w:r>
        <w:rPr>
          <w:rFonts w:ascii="仿宋" w:hAnsi="仿宋" w:eastAsia="仿宋" w:cs="仿宋"/>
          <w:sz w:val="32"/>
          <w:szCs w:val="32"/>
        </w:rPr>
        <w:t>一是积极落实</w:t>
      </w:r>
      <w:r>
        <w:rPr>
          <w:rFonts w:ascii="Calibri" w:hAnsi="Calibri" w:eastAsia="Calibri" w:cs="Calibri"/>
          <w:sz w:val="32"/>
          <w:szCs w:val="32"/>
        </w:rPr>
        <w:t> </w:t>
      </w:r>
      <w:r>
        <w:rPr>
          <w:rFonts w:ascii="仿宋" w:hAnsi="仿宋" w:eastAsia="仿宋" w:cs="仿宋"/>
          <w:sz w:val="32"/>
          <w:szCs w:val="32"/>
        </w:rPr>
        <w:t>“跨域通办”。2025年已为身处异地的办事群众跨域办理各类行政审批事项50余件。二是做好“证照联办”，与区行政服务中心一窗受理窗口配合，对于同时办理营业执照及食药许可的群众，可进行套餐联办，一次提交一次办结。2025年已办理群众申请的证照联办业务1084件。三是推动落实“无证明城市”工作，推动“减证便民”向“无证利民”升级。</w:t>
      </w:r>
    </w:p>
    <w:p w14:paraId="709ECB3D">
      <w:pPr>
        <w:spacing w:line="555" w:lineRule="atLeast"/>
        <w:ind w:firstLine="645"/>
      </w:pPr>
      <w:r>
        <w:rPr>
          <w:rFonts w:ascii="仿宋" w:hAnsi="仿宋" w:eastAsia="仿宋" w:cs="仿宋"/>
          <w:b/>
          <w:bCs/>
          <w:sz w:val="32"/>
          <w:szCs w:val="32"/>
        </w:rPr>
        <w:t>五、规范行政应诉工作，履行首长出庭应诉制度。</w:t>
      </w:r>
    </w:p>
    <w:p w14:paraId="1784C5E0">
      <w:pPr>
        <w:spacing w:line="555" w:lineRule="atLeast"/>
        <w:ind w:firstLine="645"/>
      </w:pPr>
      <w:r>
        <w:rPr>
          <w:rFonts w:ascii="仿宋" w:hAnsi="仿宋" w:eastAsia="仿宋" w:cs="仿宋"/>
          <w:b/>
          <w:bCs/>
          <w:sz w:val="32"/>
          <w:szCs w:val="32"/>
        </w:rPr>
        <w:t>1.规范应诉处理流程。</w:t>
      </w:r>
      <w:r>
        <w:rPr>
          <w:rFonts w:ascii="仿宋" w:hAnsi="仿宋" w:eastAsia="仿宋" w:cs="仿宋"/>
          <w:sz w:val="32"/>
          <w:szCs w:val="32"/>
        </w:rPr>
        <w:t>为了规范我局行政复议、行政诉讼（以下统称应诉）案件及时、</w:t>
      </w:r>
      <w:r>
        <w:rPr>
          <w:rStyle w:val="19"/>
          <w:rFonts w:ascii="仿宋" w:hAnsi="仿宋" w:eastAsia="仿宋" w:cs="仿宋"/>
          <w:sz w:val="32"/>
          <w:szCs w:val="32"/>
        </w:rPr>
        <w:t>有效地</w:t>
      </w:r>
      <w:r>
        <w:rPr>
          <w:rFonts w:ascii="仿宋" w:hAnsi="仿宋" w:eastAsia="仿宋" w:cs="仿宋"/>
          <w:sz w:val="32"/>
          <w:szCs w:val="32"/>
        </w:rPr>
        <w:t>处理，我局制定《仓山区市场监督管理局处理行政复议、行政诉讼案件流程规定</w:t>
      </w:r>
      <w:r>
        <w:rPr>
          <w:rFonts w:hint="eastAsia" w:ascii="仿宋" w:hAnsi="仿宋" w:eastAsia="仿宋" w:cs="仿宋"/>
          <w:sz w:val="32"/>
          <w:szCs w:val="32"/>
          <w:lang w:eastAsia="zh-CN"/>
        </w:rPr>
        <w:t>（</w:t>
      </w:r>
      <w:r>
        <w:rPr>
          <w:rFonts w:ascii="仿宋" w:hAnsi="仿宋" w:eastAsia="仿宋" w:cs="仿宋"/>
          <w:sz w:val="32"/>
          <w:szCs w:val="32"/>
        </w:rPr>
        <w:t>试行</w:t>
      </w:r>
      <w:r>
        <w:rPr>
          <w:rFonts w:hint="eastAsia" w:ascii="仿宋" w:hAnsi="仿宋" w:eastAsia="仿宋" w:cs="仿宋"/>
          <w:sz w:val="32"/>
          <w:szCs w:val="32"/>
          <w:lang w:eastAsia="zh-CN"/>
        </w:rPr>
        <w:t>）</w:t>
      </w:r>
      <w:r>
        <w:rPr>
          <w:rFonts w:ascii="仿宋" w:hAnsi="仿宋" w:eastAsia="仿宋" w:cs="仿宋"/>
          <w:sz w:val="32"/>
          <w:szCs w:val="32"/>
        </w:rPr>
        <w:t>》，对各相关单位在职责分工、举证流程、应诉要求上均做了明确的规定，进一步规范了我局应诉的处理流程，同时要求所有的行政应诉案件均由分管领导出庭应诉，不仅增强了行政首长运用法治思维和法治方式处理全局性问题的意识和能力，推进了应讼工作的效率和质量，也减少行政应诉败诉的风险。在法律顾问的协助下积极配合各承办部门做好行政复议、行政诉讼的应对工作，2025年我局共收到行政诉讼申请12件（含一审9件、二审3件）、行政复议申请350件，行政诉讼调解1件</w:t>
      </w:r>
      <w:r>
        <w:rPr>
          <w:rFonts w:hint="eastAsia" w:ascii="仿宋" w:hAnsi="仿宋" w:eastAsia="仿宋" w:cs="仿宋"/>
          <w:sz w:val="32"/>
          <w:szCs w:val="32"/>
          <w:lang w:eastAsia="zh-CN"/>
        </w:rPr>
        <w:t>，</w:t>
      </w:r>
      <w:r>
        <w:rPr>
          <w:rFonts w:ascii="仿宋" w:hAnsi="仿宋" w:eastAsia="仿宋" w:cs="仿宋"/>
          <w:sz w:val="32"/>
          <w:szCs w:val="32"/>
        </w:rPr>
        <w:t>行政复议调解77件，没有行政复议被撤销的案件。今年行政诉讼案件均由我局分管领导以“行政诉讼第一人”身份出庭应诉，增强“一把手”依法行政的意识和能力，树立了“法治政府”的形象，促进行政诉讼案件实质性解决。</w:t>
      </w:r>
    </w:p>
    <w:p w14:paraId="5DA340BA">
      <w:pPr>
        <w:spacing w:before="0" w:after="0" w:line="555" w:lineRule="atLeast"/>
        <w:ind w:firstLine="645"/>
      </w:pPr>
      <w:r>
        <w:rPr>
          <w:rFonts w:ascii="仿宋" w:hAnsi="仿宋" w:eastAsia="仿宋" w:cs="仿宋"/>
          <w:b/>
          <w:bCs/>
          <w:sz w:val="32"/>
          <w:szCs w:val="32"/>
        </w:rPr>
        <w:t>2.积极推进法律顾问制度情况。</w:t>
      </w:r>
      <w:r>
        <w:rPr>
          <w:rFonts w:ascii="仿宋" w:hAnsi="仿宋" w:eastAsia="仿宋" w:cs="仿宋"/>
          <w:sz w:val="32"/>
          <w:szCs w:val="32"/>
        </w:rPr>
        <w:t>为了提高我局执法人员的执法水平，我局聘请上海锦天城（福州）律师事务所律师团队为我局法律顾问。一是推行律师坐班制。聘请律师团队每周定点定期为监管执法人员提供法律咨询服务，为我局把好法律关，2025年共提供法律咨询51次。</w:t>
      </w:r>
      <w:r>
        <w:rPr>
          <w:rFonts w:ascii="Calibri" w:hAnsi="Calibri" w:eastAsia="Calibri" w:cs="Calibri"/>
          <w:color w:val="FF0000"/>
          <w:sz w:val="32"/>
          <w:szCs w:val="32"/>
        </w:rPr>
        <w:t> </w:t>
      </w:r>
      <w:r>
        <w:rPr>
          <w:rFonts w:ascii="仿宋" w:hAnsi="仿宋" w:eastAsia="仿宋" w:cs="仿宋"/>
          <w:sz w:val="32"/>
          <w:szCs w:val="32"/>
        </w:rPr>
        <w:t>二是延伸律师下基层服务。将法律咨询活动延伸到基层一线市场监管所，零距离倾听监管执法人员心声，有效解决基层在监管执法过程中遇到的实际问题。三是举办律师大讲坛。2025年5月，法律顾问为我局开展行政执法专题培训，结合了近年来本系统执法人员在案件处理中存在的问题，从规范执法要点和案件处理要点两个方面作了详细解读。强化了行政执法人员的法律意识、程序意识和证据意识，全面提高行政执法质量和效能。</w:t>
      </w:r>
    </w:p>
    <w:p w14:paraId="1FE273AF">
      <w:pPr>
        <w:spacing w:line="555" w:lineRule="atLeast"/>
      </w:pPr>
      <w:r>
        <w:rPr>
          <w:rFonts w:ascii="仿宋" w:hAnsi="仿宋" w:eastAsia="仿宋" w:cs="仿宋"/>
          <w:b/>
          <w:bCs/>
          <w:sz w:val="32"/>
          <w:szCs w:val="32"/>
        </w:rPr>
        <w:t>六、积极开展普法活动，落实“谁执法谁普法”责任制。</w:t>
      </w:r>
    </w:p>
    <w:p w14:paraId="387A9764">
      <w:pPr>
        <w:spacing w:line="555" w:lineRule="atLeast"/>
        <w:ind w:firstLine="645"/>
        <w:jc w:val="both"/>
      </w:pPr>
      <w:r>
        <w:rPr>
          <w:rFonts w:ascii="仿宋" w:hAnsi="仿宋" w:eastAsia="仿宋" w:cs="仿宋"/>
          <w:sz w:val="32"/>
          <w:szCs w:val="32"/>
        </w:rPr>
        <w:t>坚持开展“法律六进”活动。我局坚持依法执法与法治宣传相结合、坚持日常宣传与主题宣传相结合、坚持上下联动和属地管理相结合、坚持法治宣传与法治实践相结合，按照“谁执法谁普法”的普法责任制要求，积极通过多种渠道将法律宣传进社区、进校园、进商场、进农村、进单位，进企业。一是立足主题宣传日，全面开展宣传活动。我局今年依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3·15</w:t>
      </w:r>
      <w:r>
        <w:rPr>
          <w:rFonts w:hint="eastAsia" w:ascii="仿宋" w:hAnsi="仿宋" w:eastAsia="仿宋" w:cs="仿宋"/>
          <w:sz w:val="32"/>
          <w:szCs w:val="32"/>
          <w:lang w:eastAsia="zh-CN"/>
        </w:rPr>
        <w:t>”</w:t>
      </w:r>
      <w:r>
        <w:rPr>
          <w:rFonts w:ascii="仿宋" w:hAnsi="仿宋" w:eastAsia="仿宋" w:cs="仿宋"/>
          <w:sz w:val="32"/>
          <w:szCs w:val="32"/>
        </w:rPr>
        <w:t>消费者维权日、“4.26”世界知识产权日、“5.20”世界计量日、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12·4</w:t>
      </w:r>
      <w:r>
        <w:rPr>
          <w:rFonts w:hint="eastAsia" w:ascii="仿宋" w:hAnsi="仿宋" w:eastAsia="仿宋" w:cs="仿宋"/>
          <w:sz w:val="32"/>
          <w:szCs w:val="32"/>
          <w:lang w:eastAsia="zh-CN"/>
        </w:rPr>
        <w:t>”</w:t>
      </w:r>
      <w:r>
        <w:rPr>
          <w:rFonts w:ascii="仿宋" w:hAnsi="仿宋" w:eastAsia="仿宋" w:cs="仿宋"/>
          <w:sz w:val="32"/>
          <w:szCs w:val="32"/>
        </w:rPr>
        <w:t>国家宪法日、“民法典”等</w:t>
      </w:r>
      <w:r>
        <w:rPr>
          <w:rFonts w:ascii="仿宋" w:hAnsi="仿宋" w:eastAsia="仿宋" w:cs="仿宋"/>
          <w:sz w:val="32"/>
          <w:szCs w:val="32"/>
          <w:shd w:val="clear" w:color="auto" w:fill="FFFFFF"/>
        </w:rPr>
        <w:t>重要</w:t>
      </w:r>
      <w:r>
        <w:rPr>
          <w:rFonts w:ascii="仿宋" w:hAnsi="仿宋" w:eastAsia="仿宋" w:cs="仿宋"/>
          <w:sz w:val="32"/>
          <w:szCs w:val="32"/>
        </w:rPr>
        <w:t>宣传节点，全面宣传消费者维权、注册登记、食品安全、药品安全、知识产权、产品质量、计量与民生、认证认可、特种设备等市场监管领域的法律法规宣传活动。二是多部门联动共同开展普法宣传活动。我局立足市场监督管理职能，与仓山区人民政府、卫健局、区消防大队、教育局等部门合作开展多次宣传活动，多部门联动，形成工作合力，有效扩大活动宣传面。2025年我局共开展各类宣传活动29场次，出动宣传人员90多人次，接受咨询1500多人次。三是利用对企业监督检查和执法的过程中，注重加强宪法实施和监督，突出宣传“法治是最好的营商环境”。引导辖区企业在经营场所外LED灯滚动播放“学习宣传贯彻党的二十大精神，推动全面贯彻实施宪法”的活动主题进行二十大及宪法精神宣传。</w:t>
      </w:r>
    </w:p>
    <w:p w14:paraId="5D30ABCA">
      <w:pPr>
        <w:spacing w:line="555" w:lineRule="atLeast"/>
      </w:pPr>
      <w:r>
        <w:rPr>
          <w:rFonts w:ascii="仿宋" w:hAnsi="仿宋" w:eastAsia="仿宋" w:cs="仿宋"/>
          <w:b/>
          <w:bCs/>
          <w:sz w:val="32"/>
          <w:szCs w:val="32"/>
        </w:rPr>
        <w:t>七、成立行政调解组织，发挥行政调解的功能和作用。</w:t>
      </w:r>
    </w:p>
    <w:p w14:paraId="717282BC">
      <w:pPr>
        <w:spacing w:line="555" w:lineRule="atLeast"/>
        <w:ind w:firstLine="645"/>
      </w:pPr>
      <w:r>
        <w:rPr>
          <w:rFonts w:ascii="仿宋" w:hAnsi="仿宋" w:eastAsia="仿宋" w:cs="仿宋"/>
          <w:sz w:val="32"/>
          <w:szCs w:val="32"/>
        </w:rPr>
        <w:t>为了进一步加强行政调解工作，充分发挥行政调解在化解争议中的功能和作用，有效化解各类矛盾纠纷，维护人民群众利益，促进社会和谐安全稳定，我局成立了仓山区市场监督管理局行政调解委员会，下设消费者权益</w:t>
      </w:r>
      <w:r>
        <w:rPr>
          <w:rFonts w:hint="eastAsia" w:ascii="仿宋" w:hAnsi="仿宋" w:eastAsia="仿宋" w:cs="仿宋"/>
          <w:sz w:val="32"/>
          <w:szCs w:val="32"/>
          <w:lang w:eastAsia="zh-CN"/>
        </w:rPr>
        <w:t>（</w:t>
      </w:r>
      <w:r>
        <w:rPr>
          <w:rFonts w:ascii="仿宋" w:hAnsi="仿宋" w:eastAsia="仿宋" w:cs="仿宋"/>
          <w:sz w:val="32"/>
          <w:szCs w:val="32"/>
        </w:rPr>
        <w:t>产品质量</w:t>
      </w:r>
      <w:r>
        <w:rPr>
          <w:rFonts w:hint="eastAsia" w:ascii="仿宋" w:hAnsi="仿宋" w:eastAsia="仿宋" w:cs="仿宋"/>
          <w:sz w:val="32"/>
          <w:szCs w:val="32"/>
          <w:lang w:eastAsia="zh-CN"/>
        </w:rPr>
        <w:t>）</w:t>
      </w:r>
      <w:r>
        <w:rPr>
          <w:rFonts w:ascii="仿宋" w:hAnsi="仿宋" w:eastAsia="仿宋" w:cs="仿宋"/>
          <w:sz w:val="32"/>
          <w:szCs w:val="32"/>
        </w:rPr>
        <w:t>行政调解中心、知识产权行政调解中心、计量行政调解中心，各调解中心按照各自职责开展相关调解工作。在积极推广12315投诉举报网站、12315投诉举报微信小程序等线上投诉举报平台的基础上，引导大型商超、通信企业入驻ODR平台，通过ODR企业直接对接消费投诉，缩短投诉处置时长，2025年全区共有70家企业入驻ODR平台。2025年通过12315平台、12345平台共接收投诉举报43543件。</w:t>
      </w:r>
    </w:p>
    <w:p w14:paraId="3717F487">
      <w:pPr>
        <w:spacing w:line="555" w:lineRule="atLeast"/>
      </w:pPr>
      <w:r>
        <w:rPr>
          <w:rFonts w:ascii="仿宋" w:hAnsi="仿宋" w:eastAsia="仿宋" w:cs="仿宋"/>
          <w:b/>
          <w:bCs/>
          <w:sz w:val="32"/>
          <w:szCs w:val="32"/>
        </w:rPr>
        <w:t>八、以执法为民为使命，履职创新彰显力量</w:t>
      </w:r>
    </w:p>
    <w:p w14:paraId="71DF9F21">
      <w:pPr>
        <w:spacing w:line="555" w:lineRule="atLeast"/>
        <w:ind w:firstLine="645"/>
      </w:pPr>
      <w:r>
        <w:rPr>
          <w:rStyle w:val="5"/>
          <w:rFonts w:ascii="仿宋" w:hAnsi="仿宋" w:eastAsia="仿宋" w:cs="仿宋"/>
          <w:sz w:val="32"/>
          <w:szCs w:val="32"/>
        </w:rPr>
        <w:t>仓山</w:t>
      </w:r>
      <w:r>
        <w:rPr>
          <w:rFonts w:ascii="仿宋" w:hAnsi="仿宋" w:eastAsia="仿宋" w:cs="仿宋"/>
          <w:sz w:val="32"/>
          <w:szCs w:val="32"/>
        </w:rPr>
        <w:t>辖区面积142平方公里，市场主体超过19万户，随着机构改革深入推进，我局行政编制人员严重不足与监管任务繁重的矛盾愈加突出。我局始终坚持法治引领，主动将新时代“互联网+”、大数据等新技术融入监管，彰显法治引领履职的力量。</w:t>
      </w:r>
    </w:p>
    <w:p w14:paraId="1CE5F0F8">
      <w:pPr>
        <w:spacing w:line="555" w:lineRule="atLeast"/>
        <w:ind w:firstLine="645"/>
      </w:pPr>
      <w:r>
        <w:rPr>
          <w:rFonts w:ascii="仿宋" w:hAnsi="仿宋" w:eastAsia="仿宋" w:cs="仿宋"/>
          <w:b/>
          <w:bCs/>
          <w:sz w:val="32"/>
          <w:szCs w:val="32"/>
        </w:rPr>
        <w:t>1.食品安全监管落实落细。</w:t>
      </w:r>
      <w:r>
        <w:rPr>
          <w:rFonts w:ascii="Calibri" w:hAnsi="Calibri" w:eastAsia="Calibri" w:cs="Calibri"/>
          <w:b/>
          <w:bCs/>
          <w:sz w:val="32"/>
          <w:szCs w:val="32"/>
        </w:rPr>
        <w:t> </w:t>
      </w:r>
      <w:r>
        <w:rPr>
          <w:rFonts w:ascii="仿宋" w:hAnsi="仿宋" w:eastAsia="仿宋" w:cs="仿宋"/>
          <w:sz w:val="32"/>
          <w:szCs w:val="32"/>
        </w:rPr>
        <w:t>持续推动食品安全“两个责任”落实，目前全区共有1090名包保干部，已分配包保干部974名，共16575家食品生产经营单位纳入包保平台，2025年督导完成率100%。结合</w:t>
      </w:r>
      <w:r>
        <w:rPr>
          <w:rStyle w:val="5"/>
          <w:rFonts w:ascii="仿宋" w:hAnsi="仿宋" w:eastAsia="仿宋" w:cs="仿宋"/>
          <w:sz w:val="32"/>
          <w:szCs w:val="32"/>
        </w:rPr>
        <w:t>群腐</w:t>
      </w:r>
      <w:r>
        <w:rPr>
          <w:rFonts w:ascii="仿宋" w:hAnsi="仿宋" w:eastAsia="仿宋" w:cs="仿宋"/>
          <w:sz w:val="32"/>
          <w:szCs w:val="32"/>
        </w:rPr>
        <w:t>工作，做好各类食品安全专项，特别是制售</w:t>
      </w:r>
      <w:r>
        <w:rPr>
          <w:rStyle w:val="5"/>
          <w:rFonts w:ascii="仿宋" w:hAnsi="仿宋" w:eastAsia="仿宋" w:cs="仿宋"/>
          <w:sz w:val="32"/>
          <w:szCs w:val="32"/>
        </w:rPr>
        <w:t>假劣</w:t>
      </w:r>
      <w:r>
        <w:rPr>
          <w:rFonts w:ascii="仿宋" w:hAnsi="仿宋" w:eastAsia="仿宋" w:cs="仿宋"/>
          <w:sz w:val="32"/>
          <w:szCs w:val="32"/>
        </w:rPr>
        <w:t>肉制品问题及农村假冒伪劣食品专项整治工作力度。2025年共检查食品生产及经营主体10589户次，发现问题1713个。今年来，完成全区113家食品生产单位、9686家食品经营单位、10163家餐饮单位的风险评级工作，推进“一品一码”追溯体系建设，食品生产环节已录入追溯信息1620.13万条，流通环节已录入2432.89万条，餐饮环节累计录入2240.93万条。圆满完成第十三届海峡青年节、第八届数字中国建设峰会等35场重大活动食品安全保障任务，出动执法人员1070人次，累计保障参会代表、核心区域工作人员等安全就餐11.2958万人次。加强监督抽检工作，已完成4290批次抽检任务，抽检合格率97.48%，不合格108批次，均依法依规处置。</w:t>
      </w:r>
    </w:p>
    <w:p w14:paraId="25F043CA">
      <w:pPr>
        <w:spacing w:line="555" w:lineRule="atLeast"/>
        <w:ind w:firstLine="645"/>
      </w:pPr>
      <w:r>
        <w:rPr>
          <w:rFonts w:ascii="仿宋" w:hAnsi="仿宋" w:eastAsia="仿宋" w:cs="仿宋"/>
          <w:b/>
          <w:bCs/>
          <w:sz w:val="32"/>
          <w:szCs w:val="32"/>
        </w:rPr>
        <w:t>2.药品药械监管走深走实。</w:t>
      </w:r>
      <w:r>
        <w:rPr>
          <w:rFonts w:ascii="仿宋" w:hAnsi="仿宋" w:eastAsia="仿宋" w:cs="仿宋"/>
          <w:sz w:val="32"/>
          <w:szCs w:val="32"/>
        </w:rPr>
        <w:t>制定完善我区药品医疗器械检查工作细则，规范检查流程。开展药品经营环节“清源”、药械使用环节“</w:t>
      </w:r>
      <w:r>
        <w:rPr>
          <w:rStyle w:val="5"/>
          <w:rFonts w:ascii="仿宋" w:hAnsi="仿宋" w:eastAsia="仿宋" w:cs="仿宋"/>
          <w:sz w:val="32"/>
          <w:szCs w:val="32"/>
        </w:rPr>
        <w:t>清规</w:t>
      </w:r>
      <w:r>
        <w:rPr>
          <w:rFonts w:ascii="仿宋" w:hAnsi="仿宋" w:eastAsia="仿宋" w:cs="仿宋"/>
          <w:sz w:val="32"/>
          <w:szCs w:val="32"/>
        </w:rPr>
        <w:t>”等专项行动，今年共检查药械化经营企业372家次，医疗机构198家次。此外，聚焦医疗机构药品医疗器械购销存管理、医保基金使用合规性等问题做好医保基金管理突出问题专项整治，联合医保部门对11家零售药店及22家医疗机构开展联合检查，共核查处置医保移送线索15条，立案查处3起，责令整改1起。完成药品不良反应评价1856例，督促指导上报医疗器械不良事件600例、化妆品不良反应44例。完成药品市级抽检任务46批次，省级药品抽检50批次，市级化妆品抽检23批次。</w:t>
      </w:r>
    </w:p>
    <w:p w14:paraId="6489117B">
      <w:pPr>
        <w:spacing w:line="555" w:lineRule="atLeast"/>
        <w:ind w:firstLine="645"/>
      </w:pPr>
      <w:r>
        <w:rPr>
          <w:rFonts w:ascii="仿宋" w:hAnsi="仿宋" w:eastAsia="仿宋" w:cs="仿宋"/>
          <w:b/>
          <w:bCs/>
          <w:sz w:val="32"/>
          <w:szCs w:val="32"/>
        </w:rPr>
        <w:t>3.特种设备监管</w:t>
      </w:r>
      <w:r>
        <w:rPr>
          <w:rStyle w:val="5"/>
          <w:rFonts w:ascii="仿宋" w:hAnsi="仿宋" w:eastAsia="仿宋" w:cs="仿宋"/>
          <w:b/>
          <w:bCs/>
          <w:sz w:val="32"/>
          <w:szCs w:val="32"/>
        </w:rPr>
        <w:t>见行</w:t>
      </w:r>
      <w:r>
        <w:rPr>
          <w:rFonts w:ascii="仿宋" w:hAnsi="仿宋" w:eastAsia="仿宋" w:cs="仿宋"/>
          <w:b/>
          <w:bCs/>
          <w:sz w:val="32"/>
          <w:szCs w:val="32"/>
        </w:rPr>
        <w:t>见效。</w:t>
      </w:r>
      <w:r>
        <w:rPr>
          <w:rFonts w:ascii="仿宋" w:hAnsi="仿宋" w:eastAsia="仿宋" w:cs="仿宋"/>
          <w:sz w:val="32"/>
          <w:szCs w:val="32"/>
        </w:rPr>
        <w:t>梳理投入使用年限超15年和超20年、配置水平低、运行故障率高、安全隐患突出的老旧电梯底数清单，配合房管局将我区493台电梯纳入《2025年申请超长期特别国债支持住宅老旧电梯更新改造项目》，并督促投入使用并办理使用登记满15年以上的使用单位及时进行老旧电梯安全评估，召开老旧电梯评估推进会、约谈会5场，发放《电梯评估告知函》230余份，及时消除老旧电梯安全隐患，今年已完成评估协议签定1847台。依托特种设备动态监管平台深入开展特种设备行业领域安全隐患大排查大整治攻坚行动，对排查发现的隐患，建立“四个清单”，发现一处，查处一处，2025年共出动执法人员915人次，检查438家特种设备使用单位1819台特种设备，开具监察指令书49份，处置举报投诉401件。</w:t>
      </w:r>
    </w:p>
    <w:p w14:paraId="24AE8C1D">
      <w:pPr>
        <w:spacing w:line="555" w:lineRule="atLeast"/>
        <w:ind w:firstLine="645"/>
      </w:pPr>
      <w:r>
        <w:rPr>
          <w:rFonts w:ascii="仿宋" w:hAnsi="仿宋" w:eastAsia="仿宋" w:cs="仿宋"/>
          <w:b/>
          <w:bCs/>
          <w:sz w:val="32"/>
          <w:szCs w:val="32"/>
        </w:rPr>
        <w:t>4.产品质量监管有力有序。</w:t>
      </w:r>
      <w:r>
        <w:rPr>
          <w:rFonts w:ascii="仿宋" w:hAnsi="仿宋" w:eastAsia="仿宋" w:cs="仿宋"/>
          <w:sz w:val="32"/>
          <w:szCs w:val="32"/>
        </w:rPr>
        <w:t>重点围绕无熄火保护装置的燃气燃烧器具、不合格减压阀、可燃性气体报警装置、软管等来源不明的假冒伪劣燃气灶具相关产品、儿童玩具和学生用品、消防产品等“五类”重点工业产品质量安全加大对流通领域工业产品质量监督检查和安全隐患排查力度，对19家销售不合格商品的主体进行立案调查。同时，做好不合格产品后处理工作，对抽检结果不合格的9家生产企业进行立案调查。此外，严查电动自行车非法改装及不合格产品违法违规行为，检查经营主体150余家次，发放《福州市八条电动自行车经销准则》《政策告知书》《消费提醒》等600多份。</w:t>
      </w:r>
    </w:p>
    <w:p w14:paraId="71E44EF0">
      <w:pPr>
        <w:spacing w:line="555" w:lineRule="atLeast"/>
        <w:ind w:firstLine="645"/>
      </w:pPr>
      <w:r>
        <w:rPr>
          <w:rFonts w:ascii="Calibri" w:hAnsi="Calibri" w:eastAsia="Calibri" w:cs="Calibri"/>
          <w:b/>
          <w:bCs/>
          <w:sz w:val="32"/>
          <w:szCs w:val="32"/>
        </w:rPr>
        <w:t> </w:t>
      </w:r>
      <w:r>
        <w:rPr>
          <w:rFonts w:ascii="仿宋" w:hAnsi="仿宋" w:eastAsia="仿宋" w:cs="仿宋"/>
          <w:b/>
          <w:bCs/>
          <w:sz w:val="32"/>
          <w:szCs w:val="32"/>
        </w:rPr>
        <w:t>5.知识产权工作成效显著。</w:t>
      </w:r>
      <w:r>
        <w:rPr>
          <w:rFonts w:ascii="仿宋" w:hAnsi="仿宋" w:eastAsia="仿宋" w:cs="仿宋"/>
          <w:sz w:val="32"/>
          <w:szCs w:val="32"/>
        </w:rPr>
        <w:t>一是健全知识产权保护体系。构建跨区域跨部门协同保护格局，强化与福州市中级人民法院、鼓楼区人民法院的纠纷化解协作，与长乐区、高新区市场监管局签订合作协议，加强结对共建，与长乐市场监督管理局共同处理的“梯子配件”假冒专利系列案入选2024年度福州市知识产权行政保护典型案例。二是推动知识产权创造发展。立足生物医药、新能源、智能制造等特色产业，助力企业培育质量高、效益高、价值高的专利项目，截至2025年11月底，全区共拥有有效发明专利4807件，排名全市第三。三是强化知识产权宣传服务。</w:t>
      </w:r>
      <w:r>
        <w:rPr>
          <w:rStyle w:val="5"/>
          <w:rFonts w:ascii="仿宋" w:hAnsi="仿宋" w:eastAsia="仿宋" w:cs="仿宋"/>
          <w:sz w:val="32"/>
          <w:szCs w:val="32"/>
        </w:rPr>
        <w:t>在螺洲</w:t>
      </w:r>
      <w:r>
        <w:rPr>
          <w:rFonts w:ascii="仿宋" w:hAnsi="仿宋" w:eastAsia="仿宋" w:cs="仿宋"/>
          <w:sz w:val="32"/>
          <w:szCs w:val="32"/>
        </w:rPr>
        <w:t>古镇区域打造福州特色地标宴，助企对接各区县地理标志产品，加大地理标志品牌推广力度。4月24日，福州市首个知识产权与质量文化公园正式开园，以公园为载体集中展示名企风采、公共服务机构、创新成果及消费维权知识。</w:t>
      </w:r>
    </w:p>
    <w:p w14:paraId="262BEDD1">
      <w:pPr>
        <w:spacing w:line="555" w:lineRule="atLeast"/>
        <w:ind w:firstLine="645"/>
      </w:pPr>
      <w:r>
        <w:rPr>
          <w:rFonts w:ascii="仿宋" w:hAnsi="仿宋" w:eastAsia="仿宋" w:cs="仿宋"/>
          <w:b/>
          <w:bCs/>
          <w:sz w:val="32"/>
          <w:szCs w:val="32"/>
        </w:rPr>
        <w:t>6.反不正当竞争工作持续推进。</w:t>
      </w:r>
      <w:r>
        <w:rPr>
          <w:rFonts w:ascii="仿宋" w:hAnsi="仿宋" w:eastAsia="仿宋" w:cs="仿宋"/>
          <w:sz w:val="32"/>
          <w:szCs w:val="32"/>
        </w:rPr>
        <w:t>建立公平竞争审查工作监督检查机制，定期对政策措施进行抽查和评估，共检查83个单位文件3615份，并对区发改局、区</w:t>
      </w:r>
      <w:r>
        <w:rPr>
          <w:rStyle w:val="34"/>
          <w:rFonts w:ascii="仿宋" w:hAnsi="仿宋" w:eastAsia="仿宋" w:cs="仿宋"/>
          <w:sz w:val="32"/>
          <w:szCs w:val="32"/>
        </w:rPr>
        <w:t>卫健局</w:t>
      </w:r>
      <w:r>
        <w:rPr>
          <w:rFonts w:ascii="仿宋" w:hAnsi="仿宋" w:eastAsia="仿宋" w:cs="仿宋"/>
          <w:sz w:val="32"/>
          <w:szCs w:val="32"/>
        </w:rPr>
        <w:t>、区商务局、区工信局等重点单位进行了实地监督抽查。同时，举办公平竞争审查制度培训会，召开《公平竞争审查条例实施办法》宣贯会，对公平竞争职责、审查的流程及要点等内容进行详细解读，提高公平竞争审查人员业务能力和水平，提高审查质量。</w:t>
      </w:r>
    </w:p>
    <w:p w14:paraId="772BECF2">
      <w:pPr>
        <w:spacing w:line="555" w:lineRule="atLeast"/>
        <w:ind w:firstLine="645"/>
      </w:pPr>
      <w:r>
        <w:rPr>
          <w:rFonts w:ascii="仿宋" w:hAnsi="仿宋" w:eastAsia="仿宋" w:cs="仿宋"/>
          <w:b/>
          <w:bCs/>
          <w:sz w:val="32"/>
          <w:szCs w:val="32"/>
        </w:rPr>
        <w:t>7.计量惠民行动精准发力。</w:t>
      </w:r>
      <w:r>
        <w:rPr>
          <w:rFonts w:ascii="仿宋" w:hAnsi="仿宋" w:eastAsia="仿宋" w:cs="仿宋"/>
          <w:sz w:val="32"/>
          <w:szCs w:val="32"/>
        </w:rPr>
        <w:t>一是标准化建设成效显著，赋能产业升级。累计指导20余家企业参与国家、地方及团体标准制修订。配合省市局指导培育国家级服务业标准化试点省级示范区，推进两岸花卉文化交流标准共通试点建设等。二是开展计量专项检查。强检计量器具备案企业增至839家，备案器具达36265 台（件），增幅221.5%。指导西营里市场创新推出电子化计量器具管理平台，实现数据监控、构建诚信市场环境。三是认证检测规范有序，助力企业发展。坚持“五化”导向，强化认证活动及检验检测机构监管，完成41家机构检查。实施小微企业质量管理体系认证提升行动，培育多家试点企业，其中华科计量被市局推荐参评全省系统优秀案例，通过长效服务机制助力企业将管理体系转化为发展动能。</w:t>
      </w:r>
    </w:p>
    <w:p w14:paraId="01F13FFE">
      <w:pPr>
        <w:spacing w:line="555" w:lineRule="atLeast"/>
        <w:ind w:firstLine="645"/>
      </w:pPr>
      <w:r>
        <w:rPr>
          <w:rFonts w:ascii="仿宋" w:hAnsi="仿宋" w:eastAsia="仿宋" w:cs="仿宋"/>
          <w:b/>
          <w:bCs/>
          <w:sz w:val="32"/>
          <w:szCs w:val="32"/>
        </w:rPr>
        <w:t>存在的问题和困难</w:t>
      </w:r>
    </w:p>
    <w:p w14:paraId="61152368">
      <w:pPr>
        <w:spacing w:line="555" w:lineRule="atLeast"/>
        <w:ind w:firstLine="645"/>
      </w:pPr>
      <w:r>
        <w:rPr>
          <w:rFonts w:ascii="仿宋" w:hAnsi="仿宋" w:eastAsia="仿宋" w:cs="仿宋"/>
          <w:b/>
          <w:bCs/>
          <w:sz w:val="32"/>
          <w:szCs w:val="32"/>
        </w:rPr>
        <w:t>1.基层执法人员力量薄弱，年龄结构老化、法制人员占比低。</w:t>
      </w:r>
      <w:r>
        <w:rPr>
          <w:rFonts w:ascii="仿宋" w:hAnsi="仿宋" w:eastAsia="仿宋" w:cs="仿宋"/>
          <w:sz w:val="32"/>
          <w:szCs w:val="32"/>
        </w:rPr>
        <w:t>机构改革以来，我局承担着原工商、食药、质监、盐业、价格、知识产权等多项监管职能，由于市场监管职责的专业性和特殊性，培养一个具有复合型知识的专业市场监管员需要很长的周期，随着我局编制缩减、人员调离、年龄断层等因素，基层执法力量薄弱问题日益凸显，随之基层法制人员也极其匮乏，影响了基层依法行政的能力和水平。</w:t>
      </w:r>
    </w:p>
    <w:p w14:paraId="0DB3C180">
      <w:pPr>
        <w:spacing w:line="555" w:lineRule="atLeast"/>
        <w:ind w:firstLine="645"/>
      </w:pPr>
      <w:r>
        <w:rPr>
          <w:rFonts w:ascii="仿宋" w:hAnsi="仿宋" w:eastAsia="仿宋" w:cs="仿宋"/>
          <w:b/>
          <w:bCs/>
          <w:sz w:val="32"/>
          <w:szCs w:val="32"/>
        </w:rPr>
        <w:t>2.培训形式较为单一，效果一般。</w:t>
      </w:r>
      <w:r>
        <w:rPr>
          <w:rFonts w:ascii="仿宋" w:hAnsi="仿宋" w:eastAsia="仿宋" w:cs="仿宋"/>
          <w:sz w:val="32"/>
          <w:szCs w:val="32"/>
        </w:rPr>
        <w:t>传统的培训模式多为上下业务对口式授课，上课次数频繁但效果一般，无法满足基层工作人员综合执法的需要。</w:t>
      </w:r>
    </w:p>
    <w:p w14:paraId="118E572B">
      <w:pPr>
        <w:spacing w:line="555" w:lineRule="atLeast"/>
        <w:ind w:firstLine="675"/>
      </w:pPr>
      <w:r>
        <w:rPr>
          <w:rFonts w:ascii="仿宋" w:hAnsi="仿宋" w:eastAsia="仿宋" w:cs="仿宋"/>
          <w:b/>
          <w:bCs/>
          <w:sz w:val="32"/>
          <w:szCs w:val="32"/>
        </w:rPr>
        <w:t>3.传统“法律六进”宣传活动形式有待加强。</w:t>
      </w:r>
      <w:r>
        <w:rPr>
          <w:rFonts w:ascii="仿宋" w:hAnsi="仿宋" w:eastAsia="仿宋" w:cs="仿宋"/>
          <w:sz w:val="32"/>
          <w:szCs w:val="32"/>
        </w:rPr>
        <w:t>虽然普法方式从传统宣传栏张贴、摆摊设点、悬挂宣传横幅逐步发展到电子显示屏、微信群、播放宣传片等方式，但终究耗时耗力，效果也不明显。</w:t>
      </w:r>
    </w:p>
    <w:p w14:paraId="0ED57F94">
      <w:pPr>
        <w:spacing w:line="555" w:lineRule="atLeast"/>
        <w:ind w:firstLine="645"/>
      </w:pPr>
      <w:r>
        <w:rPr>
          <w:rFonts w:ascii="仿宋" w:hAnsi="仿宋" w:eastAsia="仿宋" w:cs="仿宋"/>
          <w:b/>
          <w:bCs/>
          <w:sz w:val="32"/>
          <w:szCs w:val="32"/>
        </w:rPr>
        <w:t>4.行政复议案件呈大幅增加趋势。</w:t>
      </w:r>
      <w:r>
        <w:rPr>
          <w:rFonts w:ascii="仿宋" w:hAnsi="仿宋" w:eastAsia="仿宋" w:cs="仿宋"/>
          <w:sz w:val="32"/>
          <w:szCs w:val="32"/>
        </w:rPr>
        <w:t>除了职业打假人日益增多的因素外，自身执法力量不足、水平不高、处理不规范也时有存在。</w:t>
      </w:r>
    </w:p>
    <w:p w14:paraId="29261A4B">
      <w:pPr>
        <w:spacing w:before="0" w:after="0" w:line="555" w:lineRule="atLeast"/>
        <w:jc w:val="center"/>
        <w:rPr>
          <w:rFonts w:ascii="仿宋" w:hAnsi="仿宋" w:eastAsia="仿宋" w:cs="仿宋"/>
          <w:b/>
          <w:bCs/>
          <w:sz w:val="32"/>
          <w:szCs w:val="32"/>
        </w:rPr>
      </w:pPr>
    </w:p>
    <w:p w14:paraId="07DC9345">
      <w:pPr>
        <w:spacing w:before="0" w:after="0" w:line="555" w:lineRule="atLeast"/>
        <w:jc w:val="center"/>
        <w:rPr>
          <w:rFonts w:ascii="仿宋" w:hAnsi="仿宋" w:eastAsia="仿宋" w:cs="仿宋"/>
          <w:b/>
          <w:bCs/>
          <w:sz w:val="32"/>
          <w:szCs w:val="32"/>
        </w:rPr>
      </w:pPr>
    </w:p>
    <w:p w14:paraId="186E50CB">
      <w:pPr>
        <w:spacing w:before="0" w:after="0" w:line="555" w:lineRule="atLeast"/>
        <w:jc w:val="center"/>
      </w:pPr>
      <w:r>
        <w:rPr>
          <w:rFonts w:ascii="仿宋" w:hAnsi="仿宋" w:eastAsia="仿宋" w:cs="仿宋"/>
          <w:b/>
          <w:bCs/>
          <w:sz w:val="32"/>
          <w:szCs w:val="32"/>
        </w:rPr>
        <w:t>2026年工作要点</w:t>
      </w:r>
    </w:p>
    <w:p w14:paraId="48A6E631">
      <w:pPr>
        <w:spacing w:line="555" w:lineRule="atLeast"/>
        <w:ind w:firstLine="645"/>
      </w:pPr>
      <w:r>
        <w:rPr>
          <w:rFonts w:ascii="仿宋" w:hAnsi="仿宋" w:eastAsia="仿宋" w:cs="仿宋"/>
          <w:sz w:val="32"/>
          <w:szCs w:val="32"/>
        </w:rPr>
        <w:t>2026年，我们将以服务高质量发展为首要任务，统筹发展与安全、活力与秩序，着力在激发市场主体活力上推出新举措，在守护市场安全底线上构筑新防线，在维护公平竞争秩序上展现新作为，在赋能产业创新发展上取得新突破。</w:t>
      </w:r>
    </w:p>
    <w:p w14:paraId="10749317">
      <w:pPr>
        <w:spacing w:line="555" w:lineRule="atLeast"/>
        <w:ind w:firstLine="645"/>
      </w:pPr>
      <w:r>
        <w:rPr>
          <w:rFonts w:ascii="仿宋" w:hAnsi="仿宋" w:eastAsia="仿宋" w:cs="仿宋"/>
          <w:b/>
          <w:bCs/>
          <w:sz w:val="32"/>
          <w:szCs w:val="32"/>
        </w:rPr>
        <w:t>（一）实施“市场活水”增效工程，打造营商环境升级版。</w:t>
      </w:r>
    </w:p>
    <w:p w14:paraId="19548838">
      <w:pPr>
        <w:spacing w:line="555" w:lineRule="atLeast"/>
        <w:ind w:firstLine="645"/>
      </w:pPr>
      <w:r>
        <w:rPr>
          <w:rFonts w:ascii="仿宋" w:hAnsi="仿宋" w:eastAsia="仿宋" w:cs="仿宋"/>
          <w:sz w:val="32"/>
          <w:szCs w:val="32"/>
        </w:rPr>
        <w:t>推进电子证照在市场监管领域的应用，通过感知电子证照、数据回填等方式，深入落实“最多采一次”改革举措。推进“高效办成一件事”，推动“开超市/便利店一件事”等精品事项落实，做好年国务院“高效办成一件事”重点事项的推进落实工作。积极探索Deepseek等人工智能工具在行政审批咨询、预填表单、材料审核方面的应用。以企业诉求为导向，进一步优化办事流程、拓宽办事渠道，持续提升行政审批服务效能。认真践行“马上就办”，全面推行“网上办、寄递办、预约办”。</w:t>
      </w:r>
    </w:p>
    <w:p w14:paraId="5B41412B">
      <w:pPr>
        <w:spacing w:line="555" w:lineRule="atLeast"/>
        <w:ind w:firstLine="645"/>
      </w:pPr>
      <w:r>
        <w:rPr>
          <w:rFonts w:ascii="仿宋" w:hAnsi="仿宋" w:eastAsia="仿宋" w:cs="仿宋"/>
          <w:b/>
          <w:bCs/>
          <w:sz w:val="32"/>
          <w:szCs w:val="32"/>
        </w:rPr>
        <w:t>（二）推进“安全守护”强基工作，筑牢风险防控智慧堤。</w:t>
      </w:r>
    </w:p>
    <w:p w14:paraId="1355FAAB">
      <w:pPr>
        <w:spacing w:line="555" w:lineRule="atLeast"/>
        <w:ind w:firstLine="645"/>
      </w:pPr>
      <w:r>
        <w:rPr>
          <w:rFonts w:ascii="仿宋" w:hAnsi="仿宋" w:eastAsia="仿宋" w:cs="仿宋"/>
          <w:sz w:val="32"/>
          <w:szCs w:val="32"/>
        </w:rPr>
        <w:t>进一步完善食品安全“两个责任”体系，持续推动落实食品安全属地管理责任和企业主体责任，推进治理“餐桌污染”、建设“食品放心工程”工作。推进中小学突出问题专项整治工作，加强对学校食堂的帮扶指导，提高食品安全管理能力，推进辖区餐饮单位“明厨亮灶”建设，创建省级“互联网+明厨亮灶”示范单位。持续做好药品医疗器械质量安全监管和风险监测工作，加强麻醉药品、</w:t>
      </w:r>
      <w:r>
        <w:rPr>
          <w:rStyle w:val="5"/>
          <w:rFonts w:ascii="仿宋" w:hAnsi="仿宋" w:eastAsia="仿宋" w:cs="仿宋"/>
          <w:sz w:val="32"/>
          <w:szCs w:val="32"/>
        </w:rPr>
        <w:t>精神药品</w:t>
      </w:r>
      <w:r>
        <w:rPr>
          <w:rFonts w:ascii="仿宋" w:hAnsi="仿宋" w:eastAsia="仿宋" w:cs="仿宋"/>
          <w:sz w:val="32"/>
          <w:szCs w:val="32"/>
        </w:rPr>
        <w:t>质量监管，开展药品零售企业药品追溯码全品种扫码试点工作，构建“来源可查、去向可追、风险可控”的全周期监管体系。围绕动态清零目标，开展2026年度日常检查计划工作和“</w:t>
      </w:r>
      <w:r>
        <w:rPr>
          <w:rStyle w:val="5"/>
          <w:rFonts w:ascii="仿宋" w:hAnsi="仿宋" w:eastAsia="仿宋" w:cs="仿宋"/>
          <w:sz w:val="32"/>
          <w:szCs w:val="32"/>
        </w:rPr>
        <w:t>清网</w:t>
      </w:r>
      <w:r>
        <w:rPr>
          <w:rFonts w:ascii="仿宋" w:hAnsi="仿宋" w:eastAsia="仿宋" w:cs="仿宋"/>
          <w:sz w:val="32"/>
          <w:szCs w:val="32"/>
        </w:rPr>
        <w:t>行动”，加大特种设备违法行为查处力度坚决杜绝重特大安全事故发生。落实不合格产品处理工作，提高企业质量管理水平，强化工许获证企业的证后监管工作，检查对工许获证企业行政监督检查的全覆盖。</w:t>
      </w:r>
    </w:p>
    <w:p w14:paraId="099FA736">
      <w:pPr>
        <w:spacing w:line="555" w:lineRule="atLeast"/>
        <w:ind w:firstLine="645"/>
      </w:pPr>
      <w:r>
        <w:rPr>
          <w:rFonts w:ascii="仿宋" w:hAnsi="仿宋" w:eastAsia="仿宋" w:cs="仿宋"/>
          <w:b/>
          <w:bCs/>
          <w:sz w:val="32"/>
          <w:szCs w:val="32"/>
        </w:rPr>
        <w:t>（三）开展“赋能发展”领航工程，培育质量创新动力源。</w:t>
      </w:r>
    </w:p>
    <w:p w14:paraId="70696A99">
      <w:pPr>
        <w:spacing w:line="555" w:lineRule="atLeast"/>
        <w:ind w:firstLine="645"/>
      </w:pPr>
      <w:r>
        <w:rPr>
          <w:rFonts w:ascii="仿宋" w:hAnsi="仿宋" w:eastAsia="仿宋" w:cs="仿宋"/>
          <w:sz w:val="32"/>
          <w:szCs w:val="32"/>
        </w:rPr>
        <w:t>深入实施产业链供应链质量赋能行动，夯实“链长组织、链主引领、</w:t>
      </w:r>
      <w:r>
        <w:rPr>
          <w:rStyle w:val="5"/>
          <w:rFonts w:ascii="仿宋" w:hAnsi="仿宋" w:eastAsia="仿宋" w:cs="仿宋"/>
          <w:sz w:val="32"/>
          <w:szCs w:val="32"/>
        </w:rPr>
        <w:t>链员</w:t>
      </w:r>
      <w:r>
        <w:rPr>
          <w:rFonts w:ascii="仿宋" w:hAnsi="仿宋" w:eastAsia="仿宋" w:cs="仿宋"/>
          <w:sz w:val="32"/>
          <w:szCs w:val="32"/>
        </w:rPr>
        <w:t>协同、基础支撑、技术赋能”质量强链工作模式，助力茉莉花茶产业链供应链质量联动提升。深化知识产权金融服务，精准摸排、快速响应企业融资需求，对接金融机构加强对企业知识产权质押融资支持，积极推动企业开展专利密集型产品备案、专利导航、知识产权贯标、数据知识产权登记等工作。强化地理标志产品保护共治，构建飞凤山公园－烟台山－</w:t>
      </w:r>
      <w:r>
        <w:rPr>
          <w:rStyle w:val="5"/>
          <w:rFonts w:ascii="仿宋" w:hAnsi="仿宋" w:eastAsia="仿宋" w:cs="仿宋"/>
          <w:sz w:val="32"/>
          <w:szCs w:val="32"/>
        </w:rPr>
        <w:t>梁厝</w:t>
      </w:r>
      <w:r>
        <w:rPr>
          <w:rFonts w:ascii="仿宋" w:hAnsi="仿宋" w:eastAsia="仿宋" w:cs="仿宋"/>
          <w:sz w:val="32"/>
          <w:szCs w:val="32"/>
        </w:rPr>
        <w:t>历史文化街区</w:t>
      </w:r>
      <w:r>
        <w:rPr>
          <w:rStyle w:val="5"/>
          <w:rFonts w:ascii="仿宋" w:hAnsi="仿宋" w:eastAsia="仿宋" w:cs="仿宋"/>
          <w:sz w:val="32"/>
          <w:szCs w:val="32"/>
        </w:rPr>
        <w:t>－螺洲</w:t>
      </w:r>
      <w:r>
        <w:rPr>
          <w:rFonts w:ascii="仿宋" w:hAnsi="仿宋" w:eastAsia="仿宋" w:cs="仿宋"/>
          <w:sz w:val="32"/>
          <w:szCs w:val="32"/>
        </w:rPr>
        <w:t>古镇地理标志展示带，加强地理标志科普，探索地理标志与文旅、文创融合，助力乡村振兴。持续开展民用三表专项整治工作，维护市场秩序，推进标准化试点示范建设、鼓励辖区企业参与各类标准制修订。</w:t>
      </w:r>
    </w:p>
    <w:p w14:paraId="6C304003">
      <w:pPr>
        <w:spacing w:line="555" w:lineRule="atLeast"/>
        <w:ind w:firstLine="645"/>
      </w:pPr>
      <w:r>
        <w:rPr>
          <w:rFonts w:ascii="仿宋" w:hAnsi="仿宋" w:eastAsia="仿宋" w:cs="仿宋"/>
          <w:b/>
          <w:bCs/>
          <w:sz w:val="32"/>
          <w:szCs w:val="32"/>
        </w:rPr>
        <w:t>（四）深化“市场秩序”净化工程，营造公平放心消费圈。</w:t>
      </w:r>
    </w:p>
    <w:p w14:paraId="245B3DAB">
      <w:pPr>
        <w:spacing w:line="555" w:lineRule="atLeast"/>
        <w:ind w:firstLine="645"/>
      </w:pPr>
      <w:r>
        <w:rPr>
          <w:rFonts w:ascii="仿宋" w:hAnsi="仿宋" w:eastAsia="仿宋" w:cs="仿宋"/>
          <w:sz w:val="32"/>
          <w:szCs w:val="32"/>
        </w:rPr>
        <w:t>持续推进街区和商户规范化、精品化，推进“一会两站五进”消费维权体系建设，大力推广ODR机制，强化消费侵权案件查办。在严格落实“谁制定、谁审查、谁清理”原则的基础上，组织区联席会议各成员单位进一步优化审查机制，完善公平竞争审查范围，做好拟出台的政策措施文件的公平竞争审查工作。加大反不正当竞争执法力度，对政府关注、民生关切的电商平台、企业等不正当竞争违法行为加大监管力度。深入开展各大专项</w:t>
      </w:r>
      <w:r>
        <w:rPr>
          <w:rStyle w:val="5"/>
          <w:rFonts w:ascii="仿宋" w:hAnsi="仿宋" w:eastAsia="仿宋" w:cs="仿宋"/>
          <w:sz w:val="32"/>
          <w:szCs w:val="32"/>
        </w:rPr>
        <w:t>群腐</w:t>
      </w:r>
      <w:r>
        <w:rPr>
          <w:rFonts w:ascii="仿宋" w:hAnsi="仿宋" w:eastAsia="仿宋" w:cs="仿宋"/>
          <w:sz w:val="32"/>
          <w:szCs w:val="32"/>
        </w:rPr>
        <w:t>问题整治，聚焦重点领域和关键环节，加大线索摸排与核查力度，深化以案促改、以案促治，切实维护群众利益，营造</w:t>
      </w:r>
      <w:r>
        <w:rPr>
          <w:rStyle w:val="41"/>
          <w:rFonts w:ascii="仿宋" w:hAnsi="仿宋" w:eastAsia="仿宋" w:cs="仿宋"/>
          <w:sz w:val="32"/>
          <w:szCs w:val="32"/>
        </w:rPr>
        <w:t>风清气正</w:t>
      </w:r>
      <w:r>
        <w:rPr>
          <w:rFonts w:ascii="仿宋" w:hAnsi="仿宋" w:eastAsia="仿宋" w:cs="仿宋"/>
          <w:sz w:val="32"/>
          <w:szCs w:val="32"/>
        </w:rPr>
        <w:t>的基层生态。</w:t>
      </w:r>
    </w:p>
    <w:p w14:paraId="57E4BC3D">
      <w:pPr>
        <w:spacing w:line="555" w:lineRule="atLeast"/>
        <w:ind w:firstLine="645"/>
      </w:pPr>
      <w:r>
        <w:rPr>
          <w:rFonts w:ascii="仿宋" w:hAnsi="仿宋" w:eastAsia="仿宋" w:cs="仿宋"/>
          <w:b/>
          <w:bCs/>
          <w:sz w:val="32"/>
          <w:szCs w:val="32"/>
        </w:rPr>
        <w:t>（五）锻造“市场铁军”铸魂工程，提升履职担当硬实力。</w:t>
      </w:r>
      <w:r>
        <w:rPr>
          <w:rFonts w:ascii="Calibri" w:hAnsi="Calibri" w:eastAsia="Calibri" w:cs="Calibri"/>
          <w:b/>
          <w:bCs/>
          <w:sz w:val="32"/>
          <w:szCs w:val="32"/>
        </w:rPr>
        <w:t>      </w:t>
      </w:r>
    </w:p>
    <w:p w14:paraId="031DEE95">
      <w:pPr>
        <w:spacing w:line="555" w:lineRule="atLeast"/>
        <w:ind w:firstLine="645"/>
      </w:pPr>
      <w:r>
        <w:rPr>
          <w:rFonts w:ascii="仿宋" w:hAnsi="仿宋" w:eastAsia="仿宋" w:cs="仿宋"/>
          <w:sz w:val="32"/>
          <w:szCs w:val="32"/>
        </w:rPr>
        <w:t>持续推进深入贯彻</w:t>
      </w:r>
      <w:r>
        <w:rPr>
          <w:rStyle w:val="42"/>
          <w:rFonts w:ascii="仿宋" w:hAnsi="仿宋" w:eastAsia="仿宋" w:cs="仿宋"/>
          <w:sz w:val="32"/>
          <w:szCs w:val="32"/>
        </w:rPr>
        <w:t>中央八项规定精神学习教育</w:t>
      </w:r>
      <w:r>
        <w:rPr>
          <w:rFonts w:ascii="仿宋" w:hAnsi="仿宋" w:eastAsia="仿宋" w:cs="仿宋"/>
          <w:sz w:val="32"/>
          <w:szCs w:val="32"/>
        </w:rPr>
        <w:t>走深走实，抓好党政机关厉行节约反对浪费条例的学习教育，落实意识形态工作责任制，抓好舆情监测及信息发布工作，科学高效处置突发舆情，加大工作宣传力度，充分运用媒体平台展示工作亮点。以基层执法需求为导向，邀请法律顾问为我局行政执法人员及执法辅助人员开展执法专题讲座1-2场，提高基层执法水平。</w:t>
      </w:r>
      <w:r>
        <w:rPr>
          <w:rFonts w:ascii="Calibri" w:hAnsi="Calibri" w:eastAsia="Calibri" w:cs="Calibri"/>
          <w:sz w:val="32"/>
          <w:szCs w:val="32"/>
        </w:rPr>
        <w:t> </w:t>
      </w:r>
      <w:r>
        <w:rPr>
          <w:rFonts w:ascii="仿宋" w:hAnsi="仿宋" w:eastAsia="仿宋" w:cs="仿宋"/>
          <w:sz w:val="32"/>
          <w:szCs w:val="32"/>
        </w:rPr>
        <w:t>加强普法教育，积极推行精准普法宣传活动。定期开展行政案卷质量检查评议工作。</w:t>
      </w:r>
    </w:p>
    <w:p w14:paraId="269DA98E">
      <w:pPr>
        <w:spacing w:before="0" w:after="0" w:line="555" w:lineRule="atLeast"/>
        <w:jc w:val="center"/>
      </w:pPr>
      <w:r>
        <w:rPr>
          <w:rFonts w:ascii="Calibri" w:hAnsi="Calibri" w:eastAsia="Calibri" w:cs="Calibri"/>
          <w:b/>
          <w:bCs/>
          <w:sz w:val="32"/>
          <w:szCs w:val="32"/>
        </w:rPr>
        <w:t> </w:t>
      </w:r>
      <w:bookmarkStart w:id="0" w:name="_GoBack"/>
      <w:bookmarkEnd w:id="0"/>
    </w:p>
    <w:p w14:paraId="15FBD791">
      <w:pPr>
        <w:spacing w:before="0" w:after="0" w:line="555" w:lineRule="atLeast"/>
        <w:jc w:val="center"/>
      </w:pPr>
      <w:r>
        <w:rPr>
          <w:rFonts w:ascii="Calibri" w:hAnsi="Calibri" w:eastAsia="Calibri" w:cs="Calibri"/>
          <w:b/>
          <w:bCs/>
          <w:sz w:val="32"/>
          <w:szCs w:val="32"/>
        </w:rPr>
        <w:t> </w:t>
      </w:r>
    </w:p>
    <w:p w14:paraId="08E6CF12">
      <w:pPr>
        <w:spacing w:line="555" w:lineRule="atLeast"/>
        <w:ind w:left="5655"/>
        <w:jc w:val="both"/>
      </w:pPr>
      <w:r>
        <w:rPr>
          <w:rFonts w:ascii="Calibri" w:hAnsi="Calibri" w:eastAsia="Calibri" w:cs="Calibri"/>
          <w:sz w:val="32"/>
          <w:szCs w:val="32"/>
        </w:rPr>
        <w:t> </w:t>
      </w:r>
    </w:p>
    <w:p w14:paraId="2FCFEB43">
      <w:pPr>
        <w:spacing w:line="555" w:lineRule="atLeast"/>
        <w:jc w:val="right"/>
        <w:rPr>
          <w:rFonts w:ascii="仿宋" w:hAnsi="仿宋" w:eastAsia="仿宋" w:cs="仿宋"/>
          <w:sz w:val="32"/>
          <w:szCs w:val="32"/>
        </w:rPr>
      </w:pPr>
      <w:r>
        <w:rPr>
          <w:rFonts w:ascii="仿宋" w:hAnsi="仿宋" w:eastAsia="仿宋" w:cs="仿宋"/>
          <w:sz w:val="32"/>
          <w:szCs w:val="32"/>
        </w:rPr>
        <w:t>仓山区市场监督管理局</w:t>
      </w:r>
    </w:p>
    <w:p w14:paraId="2BC99AA5">
      <w:pPr>
        <w:spacing w:line="555" w:lineRule="atLeast"/>
        <w:jc w:val="right"/>
      </w:pPr>
      <w:r>
        <w:rPr>
          <w:rFonts w:ascii="仿宋" w:hAnsi="仿宋" w:eastAsia="仿宋" w:cs="仿宋"/>
          <w:sz w:val="32"/>
          <w:szCs w:val="32"/>
        </w:rPr>
        <w:t>2025年12月31日</w:t>
      </w:r>
    </w:p>
    <w:p w14:paraId="2EE90216"/>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A9955DD"/>
    <w:rsid w:val="1004760A"/>
    <w:rsid w:val="234F0D41"/>
    <w:rsid w:val="3ABE3914"/>
    <w:rsid w:val="3C687FDC"/>
    <w:rsid w:val="46FA6014"/>
    <w:rsid w:val="6070090D"/>
    <w:rsid w:val="653C3F28"/>
    <w:rsid w:val="6F18617A"/>
    <w:rsid w:val="77CD48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errorword correctable error data-span-error0 ignoreword"/>
    <w:basedOn w:val="3"/>
    <w:uiPriority w:val="0"/>
  </w:style>
  <w:style w:type="character" w:customStyle="1" w:styleId="5">
    <w:name w:val="word"/>
    <w:basedOn w:val="3"/>
    <w:uiPriority w:val="0"/>
  </w:style>
  <w:style w:type="character" w:customStyle="1" w:styleId="6">
    <w:name w:val="errorword correctable error data-span-error1 ignoreword"/>
    <w:basedOn w:val="3"/>
    <w:uiPriority w:val="0"/>
  </w:style>
  <w:style w:type="character" w:customStyle="1" w:styleId="7">
    <w:name w:val="data-span-error2"/>
    <w:basedOn w:val="3"/>
    <w:uiPriority w:val="0"/>
  </w:style>
  <w:style w:type="character" w:customStyle="1" w:styleId="8">
    <w:name w:val="errorword correctable error data-span-error3 ignoreword"/>
    <w:basedOn w:val="3"/>
    <w:uiPriority w:val="0"/>
  </w:style>
  <w:style w:type="character" w:customStyle="1" w:styleId="9">
    <w:name w:val="errorword correctable error data-span-error4 ignoreword"/>
    <w:basedOn w:val="3"/>
    <w:qFormat/>
    <w:uiPriority w:val="0"/>
  </w:style>
  <w:style w:type="character" w:customStyle="1" w:styleId="10">
    <w:name w:val="errorword correctable dubious data-span-dubious0"/>
    <w:basedOn w:val="3"/>
    <w:qFormat/>
    <w:uiPriority w:val="0"/>
  </w:style>
  <w:style w:type="character" w:customStyle="1" w:styleId="11">
    <w:name w:val="errorword correctable seriousError data-span-seriousError0 ignoreword"/>
    <w:basedOn w:val="3"/>
    <w:qFormat/>
    <w:uiPriority w:val="0"/>
  </w:style>
  <w:style w:type="character" w:customStyle="1" w:styleId="12">
    <w:name w:val="data-span-seriousError1"/>
    <w:basedOn w:val="3"/>
    <w:qFormat/>
    <w:uiPriority w:val="0"/>
  </w:style>
  <w:style w:type="character" w:customStyle="1" w:styleId="13">
    <w:name w:val="errorword correctable dubious data-span-dubious1"/>
    <w:basedOn w:val="3"/>
    <w:uiPriority w:val="0"/>
  </w:style>
  <w:style w:type="character" w:customStyle="1" w:styleId="14">
    <w:name w:val="errorword correctable error data-span-error5"/>
    <w:basedOn w:val="3"/>
    <w:qFormat/>
    <w:uiPriority w:val="0"/>
  </w:style>
  <w:style w:type="character" w:customStyle="1" w:styleId="15">
    <w:name w:val="right"/>
    <w:basedOn w:val="3"/>
    <w:uiPriority w:val="0"/>
  </w:style>
  <w:style w:type="character" w:customStyle="1" w:styleId="16">
    <w:name w:val="rightword"/>
    <w:basedOn w:val="3"/>
    <w:qFormat/>
    <w:uiPriority w:val="0"/>
  </w:style>
  <w:style w:type="character" w:customStyle="1" w:styleId="17">
    <w:name w:val="errorword correctable error data-span-error6"/>
    <w:basedOn w:val="3"/>
    <w:qFormat/>
    <w:uiPriority w:val="0"/>
  </w:style>
  <w:style w:type="character" w:customStyle="1" w:styleId="18">
    <w:name w:val="errorword correctable dubious data-span-dubious2"/>
    <w:basedOn w:val="3"/>
    <w:qFormat/>
    <w:uiPriority w:val="0"/>
  </w:style>
  <w:style w:type="character" w:customStyle="1" w:styleId="19">
    <w:name w:val="data-span-error7"/>
    <w:basedOn w:val="3"/>
    <w:qFormat/>
    <w:uiPriority w:val="0"/>
  </w:style>
  <w:style w:type="character" w:customStyle="1" w:styleId="20">
    <w:name w:val="errorword correctable error data-span-error8"/>
    <w:basedOn w:val="3"/>
    <w:uiPriority w:val="0"/>
  </w:style>
  <w:style w:type="character" w:customStyle="1" w:styleId="21">
    <w:name w:val="errorword correctable error data-span-error9"/>
    <w:basedOn w:val="3"/>
    <w:qFormat/>
    <w:uiPriority w:val="0"/>
  </w:style>
  <w:style w:type="character" w:customStyle="1" w:styleId="22">
    <w:name w:val="errorword correctable error data-span-error10"/>
    <w:basedOn w:val="3"/>
    <w:uiPriority w:val="0"/>
  </w:style>
  <w:style w:type="character" w:customStyle="1" w:styleId="23">
    <w:name w:val="errorword correctable error data-span-error11"/>
    <w:basedOn w:val="3"/>
    <w:qFormat/>
    <w:uiPriority w:val="0"/>
  </w:style>
  <w:style w:type="character" w:customStyle="1" w:styleId="24">
    <w:name w:val="errorword correctable error data-span-error12"/>
    <w:basedOn w:val="3"/>
    <w:qFormat/>
    <w:uiPriority w:val="0"/>
  </w:style>
  <w:style w:type="character" w:customStyle="1" w:styleId="25">
    <w:name w:val="errorword correctable error data-span-error13"/>
    <w:basedOn w:val="3"/>
    <w:qFormat/>
    <w:uiPriority w:val="0"/>
  </w:style>
  <w:style w:type="character" w:customStyle="1" w:styleId="26">
    <w:name w:val="errorword correctable error data-span-error14"/>
    <w:basedOn w:val="3"/>
    <w:qFormat/>
    <w:uiPriority w:val="0"/>
  </w:style>
  <w:style w:type="character" w:customStyle="1" w:styleId="27">
    <w:name w:val="errorword correctable dubious data-span-dubious3"/>
    <w:basedOn w:val="3"/>
    <w:qFormat/>
    <w:uiPriority w:val="0"/>
  </w:style>
  <w:style w:type="character" w:customStyle="1" w:styleId="28">
    <w:name w:val="errorword correctable dubious data-span-dubious4"/>
    <w:basedOn w:val="3"/>
    <w:qFormat/>
    <w:uiPriority w:val="0"/>
  </w:style>
  <w:style w:type="character" w:customStyle="1" w:styleId="29">
    <w:name w:val="errorword correctable dubious data-span-dubious5"/>
    <w:basedOn w:val="3"/>
    <w:qFormat/>
    <w:uiPriority w:val="0"/>
  </w:style>
  <w:style w:type="character" w:customStyle="1" w:styleId="30">
    <w:name w:val="errorword correctable dubious data-span-dubious6"/>
    <w:basedOn w:val="3"/>
    <w:qFormat/>
    <w:uiPriority w:val="0"/>
  </w:style>
  <w:style w:type="character" w:customStyle="1" w:styleId="31">
    <w:name w:val="errorword correctable dubious data-span-dubious7"/>
    <w:basedOn w:val="3"/>
    <w:qFormat/>
    <w:uiPriority w:val="0"/>
  </w:style>
  <w:style w:type="character" w:customStyle="1" w:styleId="32">
    <w:name w:val="errorword correctable error data-span-error15"/>
    <w:basedOn w:val="3"/>
    <w:qFormat/>
    <w:uiPriority w:val="0"/>
  </w:style>
  <w:style w:type="character" w:customStyle="1" w:styleId="33">
    <w:name w:val="errorword correctable dubious data-span-dubious8"/>
    <w:basedOn w:val="3"/>
    <w:qFormat/>
    <w:uiPriority w:val="0"/>
  </w:style>
  <w:style w:type="character" w:customStyle="1" w:styleId="34">
    <w:name w:val="data-span-seriousError2"/>
    <w:basedOn w:val="3"/>
    <w:qFormat/>
    <w:uiPriority w:val="0"/>
  </w:style>
  <w:style w:type="character" w:customStyle="1" w:styleId="35">
    <w:name w:val="errorword sensitive mgc data-span-mgc0 ignoreword"/>
    <w:basedOn w:val="3"/>
    <w:qFormat/>
    <w:uiPriority w:val="0"/>
  </w:style>
  <w:style w:type="character" w:customStyle="1" w:styleId="36">
    <w:name w:val="errorword correctable dubious data-span-dubious9"/>
    <w:basedOn w:val="3"/>
    <w:qFormat/>
    <w:uiPriority w:val="0"/>
  </w:style>
  <w:style w:type="character" w:customStyle="1" w:styleId="37">
    <w:name w:val="errorword correctable dubious data-span-dubious10"/>
    <w:basedOn w:val="3"/>
    <w:qFormat/>
    <w:uiPriority w:val="0"/>
  </w:style>
  <w:style w:type="character" w:customStyle="1" w:styleId="38">
    <w:name w:val="errorword correctable dubious data-span-dubious11"/>
    <w:basedOn w:val="3"/>
    <w:qFormat/>
    <w:uiPriority w:val="0"/>
  </w:style>
  <w:style w:type="character" w:customStyle="1" w:styleId="39">
    <w:name w:val="errorword correctable dubious data-span-dubious12"/>
    <w:basedOn w:val="3"/>
    <w:qFormat/>
    <w:uiPriority w:val="0"/>
  </w:style>
  <w:style w:type="character" w:customStyle="1" w:styleId="40">
    <w:name w:val="errorword correctable dubious data-span-dubious13"/>
    <w:basedOn w:val="3"/>
    <w:qFormat/>
    <w:uiPriority w:val="0"/>
  </w:style>
  <w:style w:type="character" w:customStyle="1" w:styleId="41">
    <w:name w:val="data-span-error16"/>
    <w:basedOn w:val="3"/>
    <w:qFormat/>
    <w:uiPriority w:val="0"/>
  </w:style>
  <w:style w:type="character" w:customStyle="1" w:styleId="42">
    <w:name w:val="data-span-seriousError3"/>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18</Pages>
  <Words>9305</Words>
  <Characters>9670</Characters>
  <Lines>1</Lines>
  <Paragraphs>1</Paragraphs>
  <TotalTime>4</TotalTime>
  <ScaleCrop>false</ScaleCrop>
  <LinksUpToDate>false</LinksUpToDate>
  <CharactersWithSpaces>9723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2026-02-04T08:03:28Z</dcterms:created>
  <dc:creator>14061</dc:creator>
  <cp:lastModifiedBy>康耀豪</cp:lastModifiedBy>
  <dcterms:modified xsi:type="dcterms:W3CDTF">2026-02-04T08:12:34Z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eyJoZGlkIjoiOTEwYzQxMmJmZjc4NzMyMDU2ODEyYmZiY2VlMjc4MDEiLCJ1c2VySWQiOiIxNjkyMDYyNTk4In0=</vt:lpwstr>
  </property>
  <property fmtid="{D5CDD505-2E9C-101B-9397-08002B2CF9AE}" pid="3" name="KSOProductBuildVer">
    <vt:lpwstr>2052-12.1.0.24657</vt:lpwstr>
  </property>
  <property fmtid="{D5CDD505-2E9C-101B-9397-08002B2CF9AE}" pid="4" name="ICV">
    <vt:lpwstr>54BF38DA5F5541CAA2E19B9DD24BB3F9_13</vt:lpwstr>
  </property>
</Properties>
</file>